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E3" w:rsidRDefault="003F26E3" w:rsidP="003F26E3">
      <w:pPr>
        <w:pStyle w:val="Default"/>
      </w:pP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2731"/>
      </w:tblGrid>
      <w:tr w:rsidR="003F26E3">
        <w:trPr>
          <w:trHeight w:val="129"/>
        </w:trPr>
        <w:tc>
          <w:tcPr>
            <w:tcW w:w="2731" w:type="dxa"/>
          </w:tcPr>
          <w:p w:rsidR="003F26E3" w:rsidRDefault="003F26E3">
            <w:pPr>
              <w:pStyle w:val="Default"/>
              <w:rPr>
                <w:sz w:val="26"/>
                <w:szCs w:val="26"/>
              </w:rPr>
            </w:pPr>
          </w:p>
        </w:tc>
      </w:tr>
    </w:tbl>
    <w:p w:rsidR="003F26E3" w:rsidRDefault="003F26E3" w:rsidP="003F26E3">
      <w:pPr>
        <w:pStyle w:val="Default"/>
      </w:pPr>
    </w:p>
    <w:p w:rsidR="003F26E3" w:rsidRDefault="003F26E3" w:rsidP="003F26E3">
      <w:pPr>
        <w:pStyle w:val="Default"/>
        <w:rPr>
          <w:sz w:val="22"/>
          <w:szCs w:val="22"/>
        </w:rPr>
      </w:pPr>
      <w:r>
        <w:t xml:space="preserve"> </w:t>
      </w:r>
      <w:r>
        <w:rPr>
          <w:sz w:val="22"/>
          <w:szCs w:val="22"/>
        </w:rPr>
        <w:t xml:space="preserve">In november 2014 hebben alle ouders, medewerkers en leerlingen van de groep 6, 7 en 8 een uitnodiging gehad om de kwaliteitsvragenlijst in te vullen. We hebben de rapportage geanalyseerd. Met de opbrengsten van deze vragenlijst willen wij de kwaliteit van de school in kaart brengen en verbeterpunten opnemen in ons beleid. </w:t>
      </w:r>
    </w:p>
    <w:tbl>
      <w:tblPr>
        <w:tblW w:w="0" w:type="auto"/>
        <w:tblBorders>
          <w:top w:val="nil"/>
          <w:left w:val="nil"/>
          <w:bottom w:val="nil"/>
          <w:right w:val="nil"/>
        </w:tblBorders>
        <w:tblLayout w:type="fixed"/>
        <w:tblLook w:val="0000" w:firstRow="0" w:lastRow="0" w:firstColumn="0" w:lastColumn="0" w:noHBand="0" w:noVBand="0"/>
      </w:tblPr>
      <w:tblGrid>
        <w:gridCol w:w="1633"/>
        <w:gridCol w:w="409"/>
        <w:gridCol w:w="1224"/>
        <w:gridCol w:w="818"/>
        <w:gridCol w:w="815"/>
        <w:gridCol w:w="1227"/>
        <w:gridCol w:w="406"/>
        <w:gridCol w:w="1636"/>
      </w:tblGrid>
      <w:tr w:rsidR="003F26E3">
        <w:trPr>
          <w:trHeight w:val="246"/>
        </w:trPr>
        <w:tc>
          <w:tcPr>
            <w:tcW w:w="2042" w:type="dxa"/>
            <w:gridSpan w:val="2"/>
          </w:tcPr>
          <w:p w:rsidR="003F26E3" w:rsidRDefault="003F26E3">
            <w:pPr>
              <w:pStyle w:val="Default"/>
              <w:rPr>
                <w:sz w:val="22"/>
                <w:szCs w:val="22"/>
              </w:rPr>
            </w:pPr>
            <w:r>
              <w:rPr>
                <w:rFonts w:ascii="Cambria" w:hAnsi="Cambria" w:cs="Cambria"/>
                <w:b/>
                <w:bCs/>
                <w:color w:val="auto"/>
                <w:sz w:val="26"/>
                <w:szCs w:val="26"/>
              </w:rPr>
              <w:t xml:space="preserve">Respons </w:t>
            </w:r>
            <w:r>
              <w:rPr>
                <w:b/>
                <w:bCs/>
                <w:sz w:val="22"/>
                <w:szCs w:val="22"/>
              </w:rPr>
              <w:t xml:space="preserve">Management 2014 </w:t>
            </w:r>
          </w:p>
        </w:tc>
        <w:tc>
          <w:tcPr>
            <w:tcW w:w="2042" w:type="dxa"/>
            <w:gridSpan w:val="2"/>
          </w:tcPr>
          <w:p w:rsidR="003F26E3" w:rsidRDefault="003F26E3">
            <w:pPr>
              <w:pStyle w:val="Default"/>
              <w:rPr>
                <w:sz w:val="22"/>
                <w:szCs w:val="22"/>
              </w:rPr>
            </w:pPr>
            <w:r>
              <w:rPr>
                <w:b/>
                <w:bCs/>
                <w:sz w:val="22"/>
                <w:szCs w:val="22"/>
              </w:rPr>
              <w:t xml:space="preserve">Medewerkers 2014 </w:t>
            </w:r>
          </w:p>
        </w:tc>
        <w:tc>
          <w:tcPr>
            <w:tcW w:w="2042" w:type="dxa"/>
            <w:gridSpan w:val="2"/>
          </w:tcPr>
          <w:p w:rsidR="003F26E3" w:rsidRDefault="003F26E3">
            <w:pPr>
              <w:pStyle w:val="Default"/>
              <w:rPr>
                <w:sz w:val="22"/>
                <w:szCs w:val="22"/>
              </w:rPr>
            </w:pPr>
            <w:r>
              <w:rPr>
                <w:b/>
                <w:bCs/>
                <w:sz w:val="22"/>
                <w:szCs w:val="22"/>
              </w:rPr>
              <w:t xml:space="preserve">Ouders 2014 </w:t>
            </w:r>
          </w:p>
        </w:tc>
        <w:tc>
          <w:tcPr>
            <w:tcW w:w="2042" w:type="dxa"/>
            <w:gridSpan w:val="2"/>
          </w:tcPr>
          <w:p w:rsidR="003F26E3" w:rsidRDefault="003F26E3">
            <w:pPr>
              <w:pStyle w:val="Default"/>
              <w:rPr>
                <w:sz w:val="22"/>
                <w:szCs w:val="22"/>
              </w:rPr>
            </w:pPr>
            <w:r>
              <w:rPr>
                <w:b/>
                <w:bCs/>
                <w:sz w:val="22"/>
                <w:szCs w:val="22"/>
              </w:rPr>
              <w:t xml:space="preserve">Leerlingen 2014 </w:t>
            </w:r>
          </w:p>
        </w:tc>
      </w:tr>
      <w:tr w:rsidR="003F26E3" w:rsidTr="003F26E3">
        <w:trPr>
          <w:trHeight w:val="380"/>
        </w:trPr>
        <w:tc>
          <w:tcPr>
            <w:tcW w:w="1633" w:type="dxa"/>
          </w:tcPr>
          <w:p w:rsidR="003F26E3" w:rsidRDefault="003F26E3">
            <w:pPr>
              <w:pStyle w:val="Default"/>
              <w:rPr>
                <w:sz w:val="22"/>
                <w:szCs w:val="22"/>
              </w:rPr>
            </w:pPr>
            <w:r>
              <w:rPr>
                <w:sz w:val="22"/>
                <w:szCs w:val="22"/>
              </w:rPr>
              <w:t xml:space="preserve">Respons Rapportage De Hoeksteen, Krommenie 2014 </w:t>
            </w:r>
          </w:p>
        </w:tc>
        <w:tc>
          <w:tcPr>
            <w:tcW w:w="1633" w:type="dxa"/>
            <w:gridSpan w:val="2"/>
          </w:tcPr>
          <w:p w:rsidR="003F26E3" w:rsidRDefault="003F26E3">
            <w:pPr>
              <w:pStyle w:val="Default"/>
              <w:rPr>
                <w:sz w:val="22"/>
                <w:szCs w:val="22"/>
              </w:rPr>
            </w:pPr>
            <w:r>
              <w:rPr>
                <w:sz w:val="22"/>
                <w:szCs w:val="22"/>
              </w:rPr>
              <w:t xml:space="preserve">6 </w:t>
            </w:r>
          </w:p>
        </w:tc>
        <w:tc>
          <w:tcPr>
            <w:tcW w:w="1633" w:type="dxa"/>
            <w:gridSpan w:val="2"/>
          </w:tcPr>
          <w:p w:rsidR="003F26E3" w:rsidRDefault="003F26E3">
            <w:pPr>
              <w:pStyle w:val="Default"/>
              <w:rPr>
                <w:sz w:val="22"/>
                <w:szCs w:val="22"/>
              </w:rPr>
            </w:pPr>
            <w:r>
              <w:rPr>
                <w:sz w:val="22"/>
                <w:szCs w:val="22"/>
              </w:rPr>
              <w:t xml:space="preserve">27 </w:t>
            </w:r>
          </w:p>
        </w:tc>
        <w:tc>
          <w:tcPr>
            <w:tcW w:w="1633" w:type="dxa"/>
            <w:gridSpan w:val="2"/>
          </w:tcPr>
          <w:p w:rsidR="003F26E3" w:rsidRDefault="003F26E3">
            <w:pPr>
              <w:pStyle w:val="Default"/>
              <w:rPr>
                <w:sz w:val="22"/>
                <w:szCs w:val="22"/>
              </w:rPr>
            </w:pPr>
            <w:r>
              <w:rPr>
                <w:sz w:val="22"/>
                <w:szCs w:val="22"/>
              </w:rPr>
              <w:t xml:space="preserve">205 </w:t>
            </w:r>
          </w:p>
        </w:tc>
        <w:tc>
          <w:tcPr>
            <w:tcW w:w="1636" w:type="dxa"/>
          </w:tcPr>
          <w:p w:rsidR="003F26E3" w:rsidRDefault="003F26E3">
            <w:pPr>
              <w:pStyle w:val="Default"/>
              <w:rPr>
                <w:sz w:val="22"/>
                <w:szCs w:val="22"/>
              </w:rPr>
            </w:pPr>
            <w:r>
              <w:rPr>
                <w:sz w:val="22"/>
                <w:szCs w:val="22"/>
              </w:rPr>
              <w:t xml:space="preserve">177 </w:t>
            </w:r>
          </w:p>
        </w:tc>
      </w:tr>
      <w:tr w:rsidR="003F26E3" w:rsidTr="003F26E3">
        <w:trPr>
          <w:trHeight w:val="110"/>
        </w:trPr>
        <w:tc>
          <w:tcPr>
            <w:tcW w:w="1633" w:type="dxa"/>
          </w:tcPr>
          <w:p w:rsidR="003F26E3" w:rsidRDefault="003F26E3">
            <w:pPr>
              <w:pStyle w:val="Default"/>
              <w:rPr>
                <w:sz w:val="22"/>
                <w:szCs w:val="22"/>
              </w:rPr>
            </w:pPr>
            <w:r>
              <w:rPr>
                <w:sz w:val="22"/>
                <w:szCs w:val="22"/>
              </w:rPr>
              <w:t xml:space="preserve">Totale populatie </w:t>
            </w:r>
          </w:p>
        </w:tc>
        <w:tc>
          <w:tcPr>
            <w:tcW w:w="1633" w:type="dxa"/>
            <w:gridSpan w:val="2"/>
          </w:tcPr>
          <w:p w:rsidR="003F26E3" w:rsidRDefault="003F26E3">
            <w:pPr>
              <w:pStyle w:val="Default"/>
              <w:rPr>
                <w:sz w:val="22"/>
                <w:szCs w:val="22"/>
              </w:rPr>
            </w:pPr>
            <w:r>
              <w:rPr>
                <w:sz w:val="22"/>
                <w:szCs w:val="22"/>
              </w:rPr>
              <w:t xml:space="preserve">6 </w:t>
            </w:r>
          </w:p>
        </w:tc>
        <w:tc>
          <w:tcPr>
            <w:tcW w:w="1633" w:type="dxa"/>
            <w:gridSpan w:val="2"/>
          </w:tcPr>
          <w:p w:rsidR="003F26E3" w:rsidRDefault="003F26E3">
            <w:pPr>
              <w:pStyle w:val="Default"/>
              <w:rPr>
                <w:sz w:val="22"/>
                <w:szCs w:val="22"/>
              </w:rPr>
            </w:pPr>
            <w:r>
              <w:rPr>
                <w:sz w:val="22"/>
                <w:szCs w:val="22"/>
              </w:rPr>
              <w:t xml:space="preserve">30 </w:t>
            </w:r>
          </w:p>
        </w:tc>
        <w:tc>
          <w:tcPr>
            <w:tcW w:w="1633" w:type="dxa"/>
            <w:gridSpan w:val="2"/>
          </w:tcPr>
          <w:p w:rsidR="003F26E3" w:rsidRDefault="003F26E3">
            <w:pPr>
              <w:pStyle w:val="Default"/>
              <w:rPr>
                <w:sz w:val="22"/>
                <w:szCs w:val="22"/>
              </w:rPr>
            </w:pPr>
            <w:r>
              <w:rPr>
                <w:sz w:val="22"/>
                <w:szCs w:val="22"/>
              </w:rPr>
              <w:t xml:space="preserve">386 </w:t>
            </w:r>
          </w:p>
        </w:tc>
        <w:tc>
          <w:tcPr>
            <w:tcW w:w="1636" w:type="dxa"/>
          </w:tcPr>
          <w:p w:rsidR="003F26E3" w:rsidRDefault="003F26E3">
            <w:pPr>
              <w:pStyle w:val="Default"/>
              <w:rPr>
                <w:sz w:val="22"/>
                <w:szCs w:val="22"/>
              </w:rPr>
            </w:pPr>
            <w:r>
              <w:rPr>
                <w:sz w:val="22"/>
                <w:szCs w:val="22"/>
              </w:rPr>
              <w:t xml:space="preserve">178 </w:t>
            </w:r>
          </w:p>
        </w:tc>
      </w:tr>
      <w:tr w:rsidR="003F26E3" w:rsidTr="003F26E3">
        <w:trPr>
          <w:trHeight w:val="110"/>
        </w:trPr>
        <w:tc>
          <w:tcPr>
            <w:tcW w:w="1633" w:type="dxa"/>
          </w:tcPr>
          <w:p w:rsidR="003F26E3" w:rsidRDefault="003F26E3">
            <w:pPr>
              <w:pStyle w:val="Default"/>
              <w:rPr>
                <w:sz w:val="22"/>
                <w:szCs w:val="22"/>
              </w:rPr>
            </w:pPr>
            <w:proofErr w:type="spellStart"/>
            <w:r>
              <w:rPr>
                <w:sz w:val="22"/>
                <w:szCs w:val="22"/>
              </w:rPr>
              <w:t>Responspercen</w:t>
            </w:r>
            <w:proofErr w:type="spellEnd"/>
          </w:p>
          <w:p w:rsidR="003F26E3" w:rsidRDefault="003F26E3">
            <w:pPr>
              <w:pStyle w:val="Default"/>
              <w:rPr>
                <w:sz w:val="22"/>
                <w:szCs w:val="22"/>
              </w:rPr>
            </w:pPr>
            <w:proofErr w:type="spellStart"/>
            <w:r>
              <w:rPr>
                <w:sz w:val="22"/>
                <w:szCs w:val="22"/>
              </w:rPr>
              <w:t>tage</w:t>
            </w:r>
            <w:proofErr w:type="spellEnd"/>
            <w:r>
              <w:rPr>
                <w:sz w:val="22"/>
                <w:szCs w:val="22"/>
              </w:rPr>
              <w:t xml:space="preserve"> </w:t>
            </w:r>
          </w:p>
        </w:tc>
        <w:tc>
          <w:tcPr>
            <w:tcW w:w="1633" w:type="dxa"/>
            <w:gridSpan w:val="2"/>
          </w:tcPr>
          <w:p w:rsidR="003F26E3" w:rsidRDefault="003F26E3">
            <w:pPr>
              <w:pStyle w:val="Default"/>
              <w:rPr>
                <w:sz w:val="22"/>
                <w:szCs w:val="22"/>
              </w:rPr>
            </w:pPr>
            <w:r>
              <w:rPr>
                <w:sz w:val="22"/>
                <w:szCs w:val="22"/>
              </w:rPr>
              <w:t xml:space="preserve">100% </w:t>
            </w:r>
          </w:p>
        </w:tc>
        <w:tc>
          <w:tcPr>
            <w:tcW w:w="1633" w:type="dxa"/>
            <w:gridSpan w:val="2"/>
          </w:tcPr>
          <w:p w:rsidR="003F26E3" w:rsidRDefault="003F26E3">
            <w:pPr>
              <w:pStyle w:val="Default"/>
              <w:rPr>
                <w:sz w:val="22"/>
                <w:szCs w:val="22"/>
              </w:rPr>
            </w:pPr>
            <w:r>
              <w:rPr>
                <w:sz w:val="22"/>
                <w:szCs w:val="22"/>
              </w:rPr>
              <w:t xml:space="preserve">90% </w:t>
            </w:r>
          </w:p>
        </w:tc>
        <w:tc>
          <w:tcPr>
            <w:tcW w:w="1633" w:type="dxa"/>
            <w:gridSpan w:val="2"/>
          </w:tcPr>
          <w:p w:rsidR="003F26E3" w:rsidRDefault="003F26E3">
            <w:pPr>
              <w:pStyle w:val="Default"/>
              <w:rPr>
                <w:sz w:val="22"/>
                <w:szCs w:val="22"/>
              </w:rPr>
            </w:pPr>
            <w:r>
              <w:rPr>
                <w:sz w:val="22"/>
                <w:szCs w:val="22"/>
              </w:rPr>
              <w:t xml:space="preserve">53% </w:t>
            </w:r>
          </w:p>
        </w:tc>
        <w:tc>
          <w:tcPr>
            <w:tcW w:w="1636" w:type="dxa"/>
          </w:tcPr>
          <w:p w:rsidR="003F26E3" w:rsidRDefault="003F26E3">
            <w:pPr>
              <w:pStyle w:val="Default"/>
              <w:rPr>
                <w:sz w:val="22"/>
                <w:szCs w:val="22"/>
              </w:rPr>
            </w:pPr>
            <w:r>
              <w:rPr>
                <w:sz w:val="22"/>
                <w:szCs w:val="22"/>
              </w:rPr>
              <w:t xml:space="preserve">99% </w:t>
            </w:r>
          </w:p>
        </w:tc>
      </w:tr>
    </w:tbl>
    <w:p w:rsidR="003F26E3" w:rsidRDefault="003F26E3" w:rsidP="003F26E3">
      <w:pPr>
        <w:pStyle w:val="Default"/>
        <w:rPr>
          <w:sz w:val="22"/>
          <w:szCs w:val="22"/>
        </w:rPr>
      </w:pPr>
    </w:p>
    <w:p w:rsidR="003F26E3" w:rsidRPr="003F26E3" w:rsidRDefault="003F26E3" w:rsidP="003F26E3">
      <w:pPr>
        <w:autoSpaceDE w:val="0"/>
        <w:autoSpaceDN w:val="0"/>
        <w:adjustRightInd w:val="0"/>
        <w:spacing w:after="0" w:line="240" w:lineRule="auto"/>
        <w:rPr>
          <w:rFonts w:ascii="Cambria" w:hAnsi="Cambria" w:cs="Cambria"/>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569"/>
        <w:gridCol w:w="2569"/>
      </w:tblGrid>
      <w:tr w:rsidR="003F26E3" w:rsidRPr="003F26E3">
        <w:trPr>
          <w:trHeight w:val="380"/>
        </w:trPr>
        <w:tc>
          <w:tcPr>
            <w:tcW w:w="2569" w:type="dxa"/>
          </w:tcPr>
          <w:p w:rsidR="003F26E3" w:rsidRPr="003F26E3" w:rsidRDefault="003F26E3" w:rsidP="003F26E3">
            <w:pPr>
              <w:autoSpaceDE w:val="0"/>
              <w:autoSpaceDN w:val="0"/>
              <w:adjustRightInd w:val="0"/>
              <w:spacing w:after="0" w:line="240" w:lineRule="auto"/>
              <w:rPr>
                <w:rFonts w:ascii="Calibri" w:hAnsi="Calibri" w:cs="Calibri"/>
                <w:color w:val="000000"/>
              </w:rPr>
            </w:pPr>
            <w:r w:rsidRPr="003F26E3">
              <w:rPr>
                <w:rFonts w:ascii="Cambria" w:hAnsi="Cambria" w:cs="Cambria"/>
                <w:color w:val="000000"/>
                <w:sz w:val="24"/>
                <w:szCs w:val="24"/>
              </w:rPr>
              <w:t xml:space="preserve"> </w:t>
            </w:r>
            <w:r w:rsidRPr="003F26E3">
              <w:rPr>
                <w:rFonts w:ascii="Cambria" w:hAnsi="Cambria"/>
                <w:b/>
                <w:bCs/>
              </w:rPr>
              <w:t xml:space="preserve">Rapportcijfers </w:t>
            </w:r>
            <w:r w:rsidRPr="003F26E3">
              <w:rPr>
                <w:rFonts w:ascii="Calibri" w:hAnsi="Calibri" w:cs="Calibri"/>
                <w:b/>
                <w:bCs/>
                <w:color w:val="000000"/>
              </w:rPr>
              <w:t xml:space="preserve">Doelgroep </w:t>
            </w:r>
          </w:p>
        </w:tc>
        <w:tc>
          <w:tcPr>
            <w:tcW w:w="2569" w:type="dxa"/>
          </w:tcPr>
          <w:p w:rsidR="003F26E3" w:rsidRPr="003F26E3" w:rsidRDefault="003F26E3" w:rsidP="003F26E3">
            <w:pPr>
              <w:autoSpaceDE w:val="0"/>
              <w:autoSpaceDN w:val="0"/>
              <w:adjustRightInd w:val="0"/>
              <w:spacing w:after="0" w:line="240" w:lineRule="auto"/>
              <w:rPr>
                <w:rFonts w:ascii="Cambria" w:hAnsi="Cambria" w:cs="Cambria"/>
                <w:color w:val="000000"/>
              </w:rPr>
            </w:pPr>
            <w:r w:rsidRPr="003F26E3">
              <w:rPr>
                <w:rFonts w:ascii="Calibri" w:hAnsi="Calibri" w:cs="Calibri"/>
                <w:b/>
                <w:bCs/>
                <w:color w:val="000000"/>
              </w:rPr>
              <w:t xml:space="preserve">Intern gemiddeld rapportcijfer </w:t>
            </w:r>
          </w:p>
        </w:tc>
      </w:tr>
      <w:tr w:rsidR="003F26E3" w:rsidRPr="003F26E3">
        <w:trPr>
          <w:trHeight w:val="110"/>
        </w:trPr>
        <w:tc>
          <w:tcPr>
            <w:tcW w:w="2569" w:type="dxa"/>
          </w:tcPr>
          <w:p w:rsidR="003F26E3" w:rsidRPr="003F26E3" w:rsidRDefault="003F26E3" w:rsidP="003F26E3">
            <w:pPr>
              <w:autoSpaceDE w:val="0"/>
              <w:autoSpaceDN w:val="0"/>
              <w:adjustRightInd w:val="0"/>
              <w:spacing w:after="0" w:line="240" w:lineRule="auto"/>
              <w:rPr>
                <w:rFonts w:ascii="Calibri" w:hAnsi="Calibri" w:cs="Calibri"/>
                <w:color w:val="000000"/>
              </w:rPr>
            </w:pPr>
            <w:r w:rsidRPr="003F26E3">
              <w:rPr>
                <w:rFonts w:ascii="Calibri" w:hAnsi="Calibri" w:cs="Calibri"/>
                <w:color w:val="000000"/>
              </w:rPr>
              <w:t xml:space="preserve">Management 2014 </w:t>
            </w:r>
          </w:p>
        </w:tc>
        <w:tc>
          <w:tcPr>
            <w:tcW w:w="2569" w:type="dxa"/>
          </w:tcPr>
          <w:p w:rsidR="003F26E3" w:rsidRPr="003F26E3" w:rsidRDefault="003F26E3" w:rsidP="003F26E3">
            <w:pPr>
              <w:autoSpaceDE w:val="0"/>
              <w:autoSpaceDN w:val="0"/>
              <w:adjustRightInd w:val="0"/>
              <w:spacing w:after="0" w:line="240" w:lineRule="auto"/>
              <w:rPr>
                <w:rFonts w:ascii="Calibri" w:hAnsi="Calibri" w:cs="Calibri"/>
                <w:color w:val="000000"/>
              </w:rPr>
            </w:pPr>
            <w:r w:rsidRPr="003F26E3">
              <w:rPr>
                <w:rFonts w:ascii="Calibri" w:hAnsi="Calibri" w:cs="Calibri"/>
                <w:color w:val="000000"/>
              </w:rPr>
              <w:t xml:space="preserve">7,5 </w:t>
            </w:r>
          </w:p>
        </w:tc>
      </w:tr>
      <w:tr w:rsidR="003F26E3" w:rsidRPr="003F26E3">
        <w:trPr>
          <w:trHeight w:val="110"/>
        </w:trPr>
        <w:tc>
          <w:tcPr>
            <w:tcW w:w="2569" w:type="dxa"/>
          </w:tcPr>
          <w:p w:rsidR="003F26E3" w:rsidRPr="003F26E3" w:rsidRDefault="003F26E3" w:rsidP="003F26E3">
            <w:pPr>
              <w:autoSpaceDE w:val="0"/>
              <w:autoSpaceDN w:val="0"/>
              <w:adjustRightInd w:val="0"/>
              <w:spacing w:after="0" w:line="240" w:lineRule="auto"/>
              <w:rPr>
                <w:rFonts w:ascii="Calibri" w:hAnsi="Calibri" w:cs="Calibri"/>
                <w:color w:val="000000"/>
              </w:rPr>
            </w:pPr>
            <w:r w:rsidRPr="003F26E3">
              <w:rPr>
                <w:rFonts w:ascii="Calibri" w:hAnsi="Calibri" w:cs="Calibri"/>
                <w:color w:val="000000"/>
              </w:rPr>
              <w:t xml:space="preserve">Medewerkers 2014 </w:t>
            </w:r>
          </w:p>
        </w:tc>
        <w:tc>
          <w:tcPr>
            <w:tcW w:w="2569" w:type="dxa"/>
          </w:tcPr>
          <w:p w:rsidR="003F26E3" w:rsidRPr="003F26E3" w:rsidRDefault="003F26E3" w:rsidP="003F26E3">
            <w:pPr>
              <w:autoSpaceDE w:val="0"/>
              <w:autoSpaceDN w:val="0"/>
              <w:adjustRightInd w:val="0"/>
              <w:spacing w:after="0" w:line="240" w:lineRule="auto"/>
              <w:rPr>
                <w:rFonts w:ascii="Calibri" w:hAnsi="Calibri" w:cs="Calibri"/>
                <w:color w:val="000000"/>
              </w:rPr>
            </w:pPr>
            <w:r w:rsidRPr="003F26E3">
              <w:rPr>
                <w:rFonts w:ascii="Calibri" w:hAnsi="Calibri" w:cs="Calibri"/>
                <w:color w:val="000000"/>
              </w:rPr>
              <w:t xml:space="preserve">7,2 </w:t>
            </w:r>
          </w:p>
        </w:tc>
      </w:tr>
      <w:tr w:rsidR="003F26E3" w:rsidRPr="003F26E3">
        <w:trPr>
          <w:trHeight w:val="110"/>
        </w:trPr>
        <w:tc>
          <w:tcPr>
            <w:tcW w:w="2569" w:type="dxa"/>
          </w:tcPr>
          <w:p w:rsidR="003F26E3" w:rsidRPr="003F26E3" w:rsidRDefault="003F26E3" w:rsidP="003F26E3">
            <w:pPr>
              <w:autoSpaceDE w:val="0"/>
              <w:autoSpaceDN w:val="0"/>
              <w:adjustRightInd w:val="0"/>
              <w:spacing w:after="0" w:line="240" w:lineRule="auto"/>
              <w:rPr>
                <w:rFonts w:ascii="Calibri" w:hAnsi="Calibri" w:cs="Calibri"/>
                <w:color w:val="000000"/>
              </w:rPr>
            </w:pPr>
            <w:r w:rsidRPr="003F26E3">
              <w:rPr>
                <w:rFonts w:ascii="Calibri" w:hAnsi="Calibri" w:cs="Calibri"/>
                <w:color w:val="000000"/>
              </w:rPr>
              <w:t xml:space="preserve">Ouders 2014 </w:t>
            </w:r>
          </w:p>
        </w:tc>
        <w:tc>
          <w:tcPr>
            <w:tcW w:w="2569" w:type="dxa"/>
          </w:tcPr>
          <w:p w:rsidR="003F26E3" w:rsidRPr="003F26E3" w:rsidRDefault="003F26E3" w:rsidP="003F26E3">
            <w:pPr>
              <w:autoSpaceDE w:val="0"/>
              <w:autoSpaceDN w:val="0"/>
              <w:adjustRightInd w:val="0"/>
              <w:spacing w:after="0" w:line="240" w:lineRule="auto"/>
              <w:rPr>
                <w:rFonts w:ascii="Calibri" w:hAnsi="Calibri" w:cs="Calibri"/>
                <w:color w:val="000000"/>
              </w:rPr>
            </w:pPr>
            <w:r w:rsidRPr="003F26E3">
              <w:rPr>
                <w:rFonts w:ascii="Calibri" w:hAnsi="Calibri" w:cs="Calibri"/>
                <w:color w:val="000000"/>
              </w:rPr>
              <w:t xml:space="preserve">7,4 </w:t>
            </w:r>
          </w:p>
        </w:tc>
      </w:tr>
      <w:tr w:rsidR="003F26E3" w:rsidRPr="003F26E3">
        <w:trPr>
          <w:trHeight w:val="110"/>
        </w:trPr>
        <w:tc>
          <w:tcPr>
            <w:tcW w:w="2569" w:type="dxa"/>
          </w:tcPr>
          <w:p w:rsidR="003F26E3" w:rsidRPr="003F26E3" w:rsidRDefault="003F26E3" w:rsidP="003F26E3">
            <w:pPr>
              <w:autoSpaceDE w:val="0"/>
              <w:autoSpaceDN w:val="0"/>
              <w:adjustRightInd w:val="0"/>
              <w:spacing w:after="0" w:line="240" w:lineRule="auto"/>
              <w:rPr>
                <w:rFonts w:ascii="Calibri" w:hAnsi="Calibri" w:cs="Calibri"/>
                <w:color w:val="000000"/>
              </w:rPr>
            </w:pPr>
            <w:r w:rsidRPr="003F26E3">
              <w:rPr>
                <w:rFonts w:ascii="Calibri" w:hAnsi="Calibri" w:cs="Calibri"/>
                <w:color w:val="000000"/>
              </w:rPr>
              <w:t xml:space="preserve">Leerlingen 2014 </w:t>
            </w:r>
          </w:p>
        </w:tc>
        <w:tc>
          <w:tcPr>
            <w:tcW w:w="2569" w:type="dxa"/>
          </w:tcPr>
          <w:p w:rsidR="003F26E3" w:rsidRPr="003F26E3" w:rsidRDefault="003F26E3" w:rsidP="003F26E3">
            <w:pPr>
              <w:autoSpaceDE w:val="0"/>
              <w:autoSpaceDN w:val="0"/>
              <w:adjustRightInd w:val="0"/>
              <w:spacing w:after="0" w:line="240" w:lineRule="auto"/>
              <w:rPr>
                <w:rFonts w:ascii="Calibri" w:hAnsi="Calibri" w:cs="Calibri"/>
                <w:color w:val="000000"/>
              </w:rPr>
            </w:pPr>
            <w:r w:rsidRPr="003F26E3">
              <w:rPr>
                <w:rFonts w:ascii="Calibri" w:hAnsi="Calibri" w:cs="Calibri"/>
                <w:color w:val="000000"/>
              </w:rPr>
              <w:t xml:space="preserve">7,5 </w:t>
            </w:r>
          </w:p>
        </w:tc>
      </w:tr>
    </w:tbl>
    <w:p w:rsidR="003F26E3" w:rsidRDefault="003F26E3" w:rsidP="003F26E3">
      <w:pPr>
        <w:pStyle w:val="Default"/>
        <w:rPr>
          <w:sz w:val="22"/>
          <w:szCs w:val="22"/>
        </w:rPr>
      </w:pPr>
    </w:p>
    <w:p w:rsidR="003F26E3" w:rsidRDefault="003F26E3" w:rsidP="003F26E3">
      <w:pPr>
        <w:pStyle w:val="Default"/>
        <w:rPr>
          <w:sz w:val="22"/>
          <w:szCs w:val="22"/>
        </w:rPr>
      </w:pPr>
    </w:p>
    <w:p w:rsidR="003F26E3" w:rsidRDefault="003F26E3" w:rsidP="003F26E3">
      <w:pPr>
        <w:pStyle w:val="Default"/>
        <w:rPr>
          <w:sz w:val="22"/>
          <w:szCs w:val="22"/>
        </w:rPr>
      </w:pPr>
      <w:r>
        <w:rPr>
          <w:sz w:val="22"/>
          <w:szCs w:val="22"/>
        </w:rPr>
        <w:t xml:space="preserve">Over het algemeen wordt er door zowel ouders, leerlingen als medewerkers een positief beeld van de school geschetst. We scoren dan ook bij alle categorieën een ruime voldoende! </w:t>
      </w:r>
    </w:p>
    <w:p w:rsidR="003F26E3" w:rsidRDefault="003F26E3" w:rsidP="003F26E3">
      <w:pPr>
        <w:pStyle w:val="Default"/>
        <w:rPr>
          <w:sz w:val="22"/>
          <w:szCs w:val="22"/>
        </w:rPr>
      </w:pPr>
      <w:r>
        <w:rPr>
          <w:sz w:val="22"/>
          <w:szCs w:val="22"/>
        </w:rPr>
        <w:t xml:space="preserve">Vooral het schoolklimaat, het onderwijsleerproces , het contact tussen leerkrachten en ouders en de informatie die de school over de leerlingen deelt scoren hoog ( 3,3, bij maximale score van 4). Het bevorderen van samenwerken en van zelfstandig werken scoren zelfs een 3,6! Ook passend onderwijs en de brede ontwikkeling worden hoog gewaardeerd ( 3,4). Hier zijn we trots op! Daar werken we ieder dag weer hard aan. </w:t>
      </w:r>
    </w:p>
    <w:p w:rsidR="003F26E3" w:rsidRDefault="003F26E3" w:rsidP="003F26E3">
      <w:pPr>
        <w:pStyle w:val="Default"/>
        <w:rPr>
          <w:sz w:val="22"/>
          <w:szCs w:val="22"/>
        </w:rPr>
      </w:pPr>
      <w:r>
        <w:rPr>
          <w:sz w:val="22"/>
          <w:szCs w:val="22"/>
        </w:rPr>
        <w:t xml:space="preserve">Minder tevreden zijn </w:t>
      </w:r>
      <w:proofErr w:type="spellStart"/>
      <w:r>
        <w:rPr>
          <w:sz w:val="22"/>
          <w:szCs w:val="22"/>
        </w:rPr>
        <w:t>m.n</w:t>
      </w:r>
      <w:proofErr w:type="spellEnd"/>
      <w:r>
        <w:rPr>
          <w:sz w:val="22"/>
          <w:szCs w:val="22"/>
        </w:rPr>
        <w:t xml:space="preserve"> de ouders over de onderwijstijden (2,9) hoewel dat nog steeds ruim voldoende is! Dit punt is al eerder in de MR besproken en op het moment dat de bovenbouw naar 940 lesuren kan (schooljaar 2017/2018) gaan we het lesrooster heroverwegen. </w:t>
      </w:r>
    </w:p>
    <w:p w:rsidR="003F26E3" w:rsidRDefault="003F26E3" w:rsidP="003F26E3">
      <w:pPr>
        <w:pStyle w:val="Default"/>
        <w:rPr>
          <w:sz w:val="22"/>
          <w:szCs w:val="22"/>
        </w:rPr>
      </w:pPr>
      <w:r>
        <w:rPr>
          <w:sz w:val="22"/>
          <w:szCs w:val="22"/>
        </w:rPr>
        <w:t xml:space="preserve">Daarnaast scoort de stand van de gebouwen erg laag! (2,3) Helaas werken ambtelijke molens nog steeds traag…We zijn in afwachting van nieuwbouw!! </w:t>
      </w:r>
    </w:p>
    <w:p w:rsidR="003F26E3" w:rsidRDefault="003F26E3" w:rsidP="003F26E3">
      <w:pPr>
        <w:pStyle w:val="Default"/>
        <w:rPr>
          <w:sz w:val="22"/>
          <w:szCs w:val="22"/>
        </w:rPr>
      </w:pPr>
      <w:r>
        <w:rPr>
          <w:sz w:val="22"/>
          <w:szCs w:val="22"/>
        </w:rPr>
        <w:t xml:space="preserve">Ouders geven aan tevreden te zijn over de schoolkeuze (3,5) en zouden weer voor De Hoeksteen kiezen! </w:t>
      </w:r>
    </w:p>
    <w:p w:rsidR="003F26E3" w:rsidRDefault="003F26E3" w:rsidP="003F26E3">
      <w:pPr>
        <w:pStyle w:val="Default"/>
        <w:rPr>
          <w:sz w:val="22"/>
          <w:szCs w:val="22"/>
        </w:rPr>
      </w:pPr>
      <w:r>
        <w:rPr>
          <w:sz w:val="22"/>
          <w:szCs w:val="22"/>
        </w:rPr>
        <w:t xml:space="preserve">Wat we uit de opmerkingen meenemen is vooral het onveilige gevoel dat leerlingen hebben tijdens het overblijven. De TSO heeft hier al aandacht aan besteed en zal hier zeker alert op zijn. Schroom vooral niet de TSO coördinator te informeren als uw kind met signalen thuiskomt! Samen kunnen we meer dan alleen. Daarnaast zijn we bezig met een helder stappenplan bij ongewenst gedrag en oriënteren we ons op een preventieve methode voor sociaal emotionele ontwikkeling. </w:t>
      </w:r>
    </w:p>
    <w:p w:rsidR="006709E8" w:rsidRDefault="003F26E3" w:rsidP="003F26E3">
      <w:r>
        <w:t>Dank voor uw medewerking, zo kunnen we ons onderwijs en onze omgeving steeds weer verbeteren!</w:t>
      </w:r>
    </w:p>
    <w:sectPr w:rsidR="0067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E3"/>
    <w:rsid w:val="003F26E3"/>
    <w:rsid w:val="00467977"/>
    <w:rsid w:val="00670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F26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F26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Gielens</dc:creator>
  <cp:lastModifiedBy>V.Kramer</cp:lastModifiedBy>
  <cp:revision>2</cp:revision>
  <dcterms:created xsi:type="dcterms:W3CDTF">2015-03-17T11:15:00Z</dcterms:created>
  <dcterms:modified xsi:type="dcterms:W3CDTF">2015-03-17T11:15:00Z</dcterms:modified>
</cp:coreProperties>
</file>