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FD80" w14:textId="77777777" w:rsidR="0038520B" w:rsidRPr="00B54993" w:rsidRDefault="0038520B" w:rsidP="0038520B">
      <w:pPr>
        <w:pStyle w:val="Kop2"/>
        <w:numPr>
          <w:ilvl w:val="0"/>
          <w:numId w:val="0"/>
        </w:numPr>
        <w:ind w:left="576" w:hanging="576"/>
      </w:pPr>
      <w:bookmarkStart w:id="0" w:name="_Toc127188032"/>
      <w:r w:rsidRPr="00B54993">
        <w:t>Bijlage 3: Pestprotocol De Wingerd</w:t>
      </w:r>
      <w:bookmarkEnd w:id="0"/>
    </w:p>
    <w:p w14:paraId="6C72DC82" w14:textId="77777777" w:rsidR="0038520B" w:rsidRPr="00B54993" w:rsidRDefault="0038520B" w:rsidP="0038520B">
      <w:pPr>
        <w:tabs>
          <w:tab w:val="left" w:pos="5532"/>
        </w:tabs>
        <w:spacing w:line="276" w:lineRule="auto"/>
        <w:rPr>
          <w:rFonts w:asciiTheme="majorHAnsi" w:hAnsiTheme="majorHAnsi" w:cstheme="majorHAnsi"/>
        </w:rPr>
      </w:pPr>
    </w:p>
    <w:p w14:paraId="0D824C3C" w14:textId="77777777" w:rsidR="0038520B" w:rsidRPr="00B54993" w:rsidRDefault="0038520B" w:rsidP="0038520B">
      <w:pPr>
        <w:tabs>
          <w:tab w:val="left" w:pos="5532"/>
        </w:tabs>
        <w:spacing w:line="276" w:lineRule="auto"/>
        <w:rPr>
          <w:rFonts w:asciiTheme="majorHAnsi" w:hAnsiTheme="majorHAnsi" w:cstheme="majorBidi"/>
        </w:rPr>
      </w:pPr>
      <w:r w:rsidRPr="0B553963">
        <w:rPr>
          <w:rFonts w:asciiTheme="majorHAnsi" w:hAnsiTheme="majorHAnsi" w:cstheme="majorBidi"/>
        </w:rPr>
        <w:t>De Wingerd biedt de leerlingen een veilige sfeer, waarin zij zich harmonieus en op een positieve wijze kunnen ontwikkelen. Wij proberen pesten te voorkomen door een goed en veilig pedagogisch klimaat te scheppen.</w:t>
      </w:r>
    </w:p>
    <w:p w14:paraId="5AB34794" w14:textId="77777777" w:rsidR="0038520B" w:rsidRPr="00B54993" w:rsidRDefault="0038520B" w:rsidP="0038520B">
      <w:pPr>
        <w:tabs>
          <w:tab w:val="left" w:pos="5532"/>
        </w:tabs>
        <w:spacing w:line="276" w:lineRule="auto"/>
        <w:rPr>
          <w:rFonts w:asciiTheme="majorHAnsi" w:hAnsiTheme="majorHAnsi" w:cstheme="majorHAnsi"/>
        </w:rPr>
      </w:pPr>
      <w:r>
        <w:rPr>
          <w:rFonts w:asciiTheme="majorHAnsi" w:hAnsiTheme="majorHAnsi" w:cstheme="majorHAnsi"/>
        </w:rPr>
        <w:t xml:space="preserve">Wij gebruiken het Sociale Veiligheid Protocol van de Kanjertraining. </w:t>
      </w:r>
    </w:p>
    <w:p w14:paraId="2ACDD1EF" w14:textId="77777777" w:rsidR="0038520B"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Dit protocol is geformuleerd vanuit de wij-vorm van school en ouders. </w:t>
      </w:r>
      <w:hyperlink r:id="rId5" w:history="1">
        <w:r w:rsidRPr="009857E3">
          <w:rPr>
            <w:rStyle w:val="Hyperlink"/>
            <w:rFonts w:asciiTheme="majorHAnsi" w:hAnsiTheme="majorHAnsi" w:cstheme="majorHAnsi"/>
          </w:rPr>
          <w:t xml:space="preserve">Klik </w:t>
        </w:r>
        <w:r w:rsidRPr="009857E3">
          <w:rPr>
            <w:rStyle w:val="Hyperlink"/>
            <w:rFonts w:asciiTheme="majorHAnsi" w:hAnsiTheme="majorHAnsi" w:cstheme="majorHAnsi"/>
          </w:rPr>
          <w:t>h</w:t>
        </w:r>
        <w:r w:rsidRPr="009857E3">
          <w:rPr>
            <w:rStyle w:val="Hyperlink"/>
            <w:rFonts w:asciiTheme="majorHAnsi" w:hAnsiTheme="majorHAnsi" w:cstheme="majorHAnsi"/>
          </w:rPr>
          <w:t>ier</w:t>
        </w:r>
      </w:hyperlink>
      <w:r>
        <w:rPr>
          <w:rFonts w:asciiTheme="majorHAnsi" w:hAnsiTheme="majorHAnsi" w:cstheme="majorHAnsi"/>
        </w:rPr>
        <w:t xml:space="preserve"> voor het protocol. </w:t>
      </w:r>
    </w:p>
    <w:p w14:paraId="34FB7725" w14:textId="77777777" w:rsidR="0038520B" w:rsidRPr="002430D2" w:rsidRDefault="0038520B" w:rsidP="0038520B">
      <w:pPr>
        <w:tabs>
          <w:tab w:val="left" w:pos="5532"/>
        </w:tabs>
        <w:spacing w:line="276" w:lineRule="auto"/>
        <w:rPr>
          <w:rFonts w:asciiTheme="majorHAnsi" w:hAnsiTheme="majorHAnsi" w:cstheme="majorHAnsi"/>
        </w:rPr>
      </w:pPr>
    </w:p>
    <w:p w14:paraId="2E169E8F"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U vindt in dit document de onderdelen:</w:t>
      </w:r>
    </w:p>
    <w:p w14:paraId="34CD9ECE"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Doelen, De uitgangspunten, Wat doen we preventief en hoe doen we dat en Wat doen we als het mis </w:t>
      </w:r>
    </w:p>
    <w:p w14:paraId="4F5209EB"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gaat en hoe doen we dat?</w:t>
      </w:r>
    </w:p>
    <w:p w14:paraId="19536858"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 </w:t>
      </w:r>
    </w:p>
    <w:p w14:paraId="2FD6C7FE"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Doelen</w:t>
      </w:r>
    </w:p>
    <w:p w14:paraId="5DC334D0" w14:textId="77777777" w:rsidR="0038520B" w:rsidRPr="009857E3" w:rsidRDefault="0038520B" w:rsidP="0038520B">
      <w:pPr>
        <w:pStyle w:val="Lijstalinea"/>
        <w:numPr>
          <w:ilvl w:val="0"/>
          <w:numId w:val="2"/>
        </w:numPr>
        <w:tabs>
          <w:tab w:val="left" w:pos="5532"/>
        </w:tabs>
        <w:spacing w:line="276" w:lineRule="auto"/>
        <w:rPr>
          <w:rFonts w:asciiTheme="majorHAnsi" w:hAnsiTheme="majorHAnsi" w:cstheme="majorHAnsi"/>
        </w:rPr>
      </w:pPr>
      <w:r w:rsidRPr="009857E3">
        <w:rPr>
          <w:rFonts w:asciiTheme="majorHAnsi" w:hAnsiTheme="majorHAnsi" w:cstheme="majorHAnsi"/>
        </w:rPr>
        <w:t>Leerlingen voelen zich veilig op school (sociaal, psychisch en fysiek)</w:t>
      </w:r>
      <w:r>
        <w:rPr>
          <w:rFonts w:asciiTheme="majorHAnsi" w:hAnsiTheme="majorHAnsi" w:cstheme="majorHAnsi"/>
        </w:rPr>
        <w:t>.</w:t>
      </w:r>
    </w:p>
    <w:p w14:paraId="24CDEBBA" w14:textId="77777777" w:rsidR="0038520B" w:rsidRPr="009857E3" w:rsidRDefault="0038520B" w:rsidP="0038520B">
      <w:pPr>
        <w:pStyle w:val="Lijstalinea"/>
        <w:numPr>
          <w:ilvl w:val="0"/>
          <w:numId w:val="2"/>
        </w:numPr>
        <w:tabs>
          <w:tab w:val="left" w:pos="5532"/>
        </w:tabs>
        <w:spacing w:line="276" w:lineRule="auto"/>
        <w:rPr>
          <w:rFonts w:asciiTheme="majorHAnsi" w:hAnsiTheme="majorHAnsi" w:cstheme="majorHAnsi"/>
        </w:rPr>
      </w:pPr>
      <w:r w:rsidRPr="009857E3">
        <w:rPr>
          <w:rFonts w:asciiTheme="majorHAnsi" w:hAnsiTheme="majorHAnsi" w:cstheme="majorHAnsi"/>
        </w:rPr>
        <w:t>Leerlingen, leerkrachten, directie, kanjer-/anti-pestcoördinator en ouders weten wat ze kunnen doen ter preventie van onveilige situaties en hoe ze kunnen handelen als het toch onveilig wordt.</w:t>
      </w:r>
    </w:p>
    <w:p w14:paraId="0AD90216" w14:textId="77777777" w:rsidR="0038520B" w:rsidRDefault="0038520B" w:rsidP="0038520B">
      <w:pPr>
        <w:tabs>
          <w:tab w:val="left" w:pos="5532"/>
        </w:tabs>
        <w:spacing w:line="276" w:lineRule="auto"/>
        <w:rPr>
          <w:rFonts w:asciiTheme="majorHAnsi" w:hAnsiTheme="majorHAnsi" w:cstheme="majorHAnsi"/>
        </w:rPr>
      </w:pPr>
    </w:p>
    <w:p w14:paraId="4231AC5B"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De uitgangspunten </w:t>
      </w:r>
    </w:p>
    <w:p w14:paraId="06ADF8E7"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School is bedoeld om te leren. Dit kan alleen als leerlingen zich veilig voelen op school.</w:t>
      </w:r>
    </w:p>
    <w:p w14:paraId="5B32613A"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De visie en levenshouding van de Kanjertraining vormen het uitgangspunt van ons veiligheidsbeleid. </w:t>
      </w:r>
    </w:p>
    <w:p w14:paraId="36C8C776"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We hebben een duidelijke visie op hoe we met elkaar omgaan en willen graag samen met ouders en </w:t>
      </w:r>
    </w:p>
    <w:p w14:paraId="4F98C817"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kinderen zorgen voor een veilige school. </w:t>
      </w:r>
    </w:p>
    <w:p w14:paraId="33410C79" w14:textId="77777777" w:rsidR="0038520B" w:rsidRDefault="0038520B" w:rsidP="0038520B">
      <w:pPr>
        <w:tabs>
          <w:tab w:val="left" w:pos="5532"/>
        </w:tabs>
        <w:spacing w:line="276" w:lineRule="auto"/>
        <w:rPr>
          <w:rFonts w:asciiTheme="majorHAnsi" w:hAnsiTheme="majorHAnsi" w:cstheme="majorHAnsi"/>
          <w:i/>
          <w:iCs/>
        </w:rPr>
      </w:pPr>
    </w:p>
    <w:p w14:paraId="618849EF" w14:textId="77777777" w:rsidR="0038520B" w:rsidRPr="009857E3" w:rsidRDefault="0038520B" w:rsidP="0038520B">
      <w:pPr>
        <w:tabs>
          <w:tab w:val="left" w:pos="5532"/>
        </w:tabs>
        <w:spacing w:line="276" w:lineRule="auto"/>
        <w:rPr>
          <w:rFonts w:asciiTheme="majorHAnsi" w:hAnsiTheme="majorHAnsi" w:cstheme="majorHAnsi"/>
          <w:i/>
          <w:iCs/>
        </w:rPr>
      </w:pPr>
      <w:r w:rsidRPr="009857E3">
        <w:rPr>
          <w:rFonts w:asciiTheme="majorHAnsi" w:hAnsiTheme="majorHAnsi" w:cstheme="majorHAnsi"/>
          <w:i/>
          <w:iCs/>
        </w:rPr>
        <w:t>1. We willen te vertrouwen zijn</w:t>
      </w:r>
    </w:p>
    <w:p w14:paraId="448936B5"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De meeste mensen willen te vertrouwen zijn. Op die manier willen we gezien, gehoord en begrepen </w:t>
      </w:r>
    </w:p>
    <w:p w14:paraId="5F049245"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worden. We gaan daarom uit van elkaars goede bedoelingen en kijken met vertrouwen naar elkaar en </w:t>
      </w:r>
    </w:p>
    <w:p w14:paraId="4D6C5D12"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de kinderen. Ons uitgangspunt is daarbij dat je jezelf mag zijn. Doe je niet anders voor dan wie je </w:t>
      </w:r>
    </w:p>
    <w:p w14:paraId="513B6CFB"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werkelijk bent, zoals je bent is het goed. En daarmee ben je te vertrouwen. </w:t>
      </w:r>
    </w:p>
    <w:p w14:paraId="6FD0B32B" w14:textId="77777777" w:rsidR="0038520B" w:rsidRDefault="0038520B" w:rsidP="0038520B">
      <w:pPr>
        <w:tabs>
          <w:tab w:val="left" w:pos="5532"/>
        </w:tabs>
        <w:spacing w:line="276" w:lineRule="auto"/>
        <w:rPr>
          <w:rFonts w:asciiTheme="majorHAnsi" w:hAnsiTheme="majorHAnsi" w:cstheme="majorHAnsi"/>
          <w:i/>
          <w:iCs/>
        </w:rPr>
      </w:pPr>
    </w:p>
    <w:p w14:paraId="34767E98" w14:textId="77777777" w:rsidR="0038520B" w:rsidRPr="009857E3" w:rsidRDefault="0038520B" w:rsidP="0038520B">
      <w:pPr>
        <w:tabs>
          <w:tab w:val="left" w:pos="5532"/>
        </w:tabs>
        <w:spacing w:line="276" w:lineRule="auto"/>
        <w:rPr>
          <w:rFonts w:asciiTheme="majorHAnsi" w:hAnsiTheme="majorHAnsi" w:cstheme="majorHAnsi"/>
          <w:i/>
          <w:iCs/>
        </w:rPr>
      </w:pPr>
      <w:r w:rsidRPr="009857E3">
        <w:rPr>
          <w:rFonts w:asciiTheme="majorHAnsi" w:hAnsiTheme="majorHAnsi" w:cstheme="majorHAnsi"/>
          <w:i/>
          <w:iCs/>
        </w:rPr>
        <w:t>2. Wij, leerkrachten en ouders, zijn samen het gezag van het fatsoen</w:t>
      </w:r>
    </w:p>
    <w:p w14:paraId="40E35E5E"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We zijn gezamenlijk verantwoordelijk voor de opvoeding van de kinderen. Een goede opvoeding richt </w:t>
      </w:r>
    </w:p>
    <w:p w14:paraId="6DA80B1F"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zich op fundamentele menselijke waarden zoals: liefde, vertrouwen, mededogen, toewijding, </w:t>
      </w:r>
    </w:p>
    <w:p w14:paraId="62BF8F55"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verantwoordelijkheid en betrokkenheid in de breedste zin van het woord. </w:t>
      </w:r>
    </w:p>
    <w:p w14:paraId="69EA9F72"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Daarom moeten wij, ouders en leerkrachten, duidelijke leiders zijn voor kinderen: wij </w:t>
      </w:r>
    </w:p>
    <w:p w14:paraId="68F3C402"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vertegenwoordigen het gezag van het fatsoen. We laten ons daarbij niet bepalen door negatieve </w:t>
      </w:r>
    </w:p>
    <w:p w14:paraId="6AB37AA2"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gevoelens zoals angst, onmacht en ergernis. We zorgen voor een veilige sfeer door </w:t>
      </w:r>
    </w:p>
    <w:p w14:paraId="02748700"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grensoverschrijdend gedrag op een nette manier zorgvuldig aan te pakken. Daarin werken we samen </w:t>
      </w:r>
    </w:p>
    <w:p w14:paraId="4B6BBEED"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met elkaar.</w:t>
      </w:r>
    </w:p>
    <w:p w14:paraId="7F885F37" w14:textId="77777777" w:rsidR="0038520B" w:rsidRDefault="0038520B" w:rsidP="0038520B">
      <w:pPr>
        <w:tabs>
          <w:tab w:val="left" w:pos="5532"/>
        </w:tabs>
        <w:spacing w:line="276" w:lineRule="auto"/>
        <w:rPr>
          <w:rFonts w:asciiTheme="majorHAnsi" w:hAnsiTheme="majorHAnsi" w:cstheme="majorHAnsi"/>
          <w:i/>
          <w:iCs/>
        </w:rPr>
      </w:pPr>
    </w:p>
    <w:p w14:paraId="2DB9BF03" w14:textId="77777777" w:rsidR="0038520B" w:rsidRPr="009857E3" w:rsidRDefault="0038520B" w:rsidP="0038520B">
      <w:pPr>
        <w:tabs>
          <w:tab w:val="left" w:pos="5532"/>
        </w:tabs>
        <w:spacing w:line="276" w:lineRule="auto"/>
        <w:rPr>
          <w:rFonts w:asciiTheme="majorHAnsi" w:hAnsiTheme="majorHAnsi" w:cstheme="majorHAnsi"/>
          <w:i/>
          <w:iCs/>
        </w:rPr>
      </w:pPr>
      <w:r w:rsidRPr="009857E3">
        <w:rPr>
          <w:rFonts w:asciiTheme="majorHAnsi" w:hAnsiTheme="majorHAnsi" w:cstheme="majorHAnsi"/>
          <w:i/>
          <w:iCs/>
        </w:rPr>
        <w:t xml:space="preserve">3. We geven het goede voorbeeld </w:t>
      </w:r>
    </w:p>
    <w:p w14:paraId="49E19DA5"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De kinderen voelen zich veilig als wij het goede voorbeeld geven:</w:t>
      </w:r>
    </w:p>
    <w:p w14:paraId="6F69AEB0"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 We gaan respectvol met elkaar om. </w:t>
      </w:r>
    </w:p>
    <w:p w14:paraId="445F776B"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We spreken respectvol over elkaar en de kinderen, ook op sociale media</w:t>
      </w:r>
    </w:p>
    <w:p w14:paraId="1D7529DA"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 xml:space="preserve">• Indien zich een probleem voor doet of als we ons zorgen maken, dan overleggen we met </w:t>
      </w:r>
    </w:p>
    <w:p w14:paraId="32D34BD7" w14:textId="77777777" w:rsidR="0038520B" w:rsidRPr="002430D2"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lastRenderedPageBreak/>
        <w:t xml:space="preserve">elkaar. We zoeken een oplossing die goed is voor alle betrokkenen en die recht doet aan de </w:t>
      </w:r>
    </w:p>
    <w:p w14:paraId="6F11410F" w14:textId="77777777" w:rsidR="0038520B" w:rsidRDefault="0038520B" w:rsidP="0038520B">
      <w:pPr>
        <w:tabs>
          <w:tab w:val="left" w:pos="5532"/>
        </w:tabs>
        <w:spacing w:line="276" w:lineRule="auto"/>
        <w:rPr>
          <w:rFonts w:asciiTheme="majorHAnsi" w:hAnsiTheme="majorHAnsi" w:cstheme="majorHAnsi"/>
        </w:rPr>
      </w:pPr>
      <w:r w:rsidRPr="002430D2">
        <w:rPr>
          <w:rFonts w:asciiTheme="majorHAnsi" w:hAnsiTheme="majorHAnsi" w:cstheme="majorHAnsi"/>
        </w:rPr>
        <w:t>situatie.</w:t>
      </w:r>
    </w:p>
    <w:p w14:paraId="03F9C102" w14:textId="77777777" w:rsidR="0038520B" w:rsidRPr="00B54993" w:rsidRDefault="0038520B" w:rsidP="0038520B">
      <w:pPr>
        <w:tabs>
          <w:tab w:val="left" w:pos="5532"/>
        </w:tabs>
        <w:spacing w:line="276" w:lineRule="auto"/>
        <w:rPr>
          <w:rFonts w:asciiTheme="majorHAnsi" w:hAnsiTheme="majorHAnsi" w:cstheme="majorHAnsi"/>
        </w:rPr>
      </w:pPr>
    </w:p>
    <w:p w14:paraId="1F6E1437" w14:textId="77777777" w:rsidR="0038520B" w:rsidRPr="00B54993" w:rsidRDefault="0038520B" w:rsidP="0038520B">
      <w:pPr>
        <w:tabs>
          <w:tab w:val="left" w:pos="5532"/>
        </w:tabs>
        <w:spacing w:line="276" w:lineRule="auto"/>
        <w:rPr>
          <w:rFonts w:asciiTheme="majorHAnsi" w:hAnsiTheme="majorHAnsi" w:cstheme="majorHAnsi"/>
        </w:rPr>
      </w:pPr>
      <w:r w:rsidRPr="00B54993">
        <w:rPr>
          <w:rFonts w:asciiTheme="majorHAnsi" w:hAnsiTheme="majorHAnsi" w:cstheme="majorHAnsi"/>
        </w:rPr>
        <w:t xml:space="preserve">Alle stappen die worden doorlopen bij de vijfsporenaanpak, worden zorgvuldig gedocumenteerd in </w:t>
      </w:r>
      <w:proofErr w:type="spellStart"/>
      <w:r w:rsidRPr="00B54993">
        <w:rPr>
          <w:rFonts w:asciiTheme="majorHAnsi" w:hAnsiTheme="majorHAnsi" w:cstheme="majorHAnsi"/>
        </w:rPr>
        <w:t>ParnasSys</w:t>
      </w:r>
      <w:proofErr w:type="spellEnd"/>
      <w:r w:rsidRPr="00B54993">
        <w:rPr>
          <w:rFonts w:asciiTheme="majorHAnsi" w:hAnsiTheme="majorHAnsi" w:cstheme="majorHAnsi"/>
        </w:rPr>
        <w:t>.</w:t>
      </w:r>
    </w:p>
    <w:p w14:paraId="5D0A3515" w14:textId="77777777" w:rsidR="0038520B" w:rsidRDefault="0038520B" w:rsidP="0038520B">
      <w:pPr>
        <w:tabs>
          <w:tab w:val="left" w:pos="5532"/>
        </w:tabs>
        <w:spacing w:line="276" w:lineRule="auto"/>
        <w:rPr>
          <w:rFonts w:asciiTheme="majorHAnsi" w:hAnsiTheme="majorHAnsi" w:cstheme="majorHAnsi"/>
        </w:rPr>
      </w:pPr>
      <w:r w:rsidRPr="00B54993">
        <w:rPr>
          <w:rFonts w:asciiTheme="majorHAnsi" w:hAnsiTheme="majorHAnsi" w:cstheme="majorHAnsi"/>
        </w:rPr>
        <w:t>Wanneer het pestgedrag niet wezenlijk veranderd en/of de ouders van het kind werken onvoldoende mee om het probleem aan te pakken, dan kan de directeur overgaan tot bijzondere maatregelen, bijvoorbeeld tijdelijk schorsen.</w:t>
      </w:r>
    </w:p>
    <w:p w14:paraId="6BA33BD2" w14:textId="77777777" w:rsidR="0038520B" w:rsidRDefault="0038520B" w:rsidP="0038520B">
      <w:pPr>
        <w:spacing w:after="160"/>
        <w:rPr>
          <w:rFonts w:asciiTheme="majorHAnsi" w:hAnsiTheme="majorHAnsi" w:cstheme="majorHAnsi"/>
        </w:rPr>
      </w:pPr>
      <w:r>
        <w:rPr>
          <w:rFonts w:asciiTheme="majorHAnsi" w:hAnsiTheme="majorHAnsi" w:cstheme="majorHAnsi"/>
        </w:rPr>
        <w:br w:type="page"/>
      </w:r>
    </w:p>
    <w:p w14:paraId="76FA952F" w14:textId="77777777" w:rsidR="00FF33C3" w:rsidRDefault="00FF33C3"/>
    <w:sectPr w:rsidR="00FF3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311D6"/>
    <w:multiLevelType w:val="hybridMultilevel"/>
    <w:tmpl w:val="707CAD96"/>
    <w:lvl w:ilvl="0" w:tplc="C72EA53C">
      <w:start w:val="5"/>
      <w:numFmt w:val="bullet"/>
      <w:lvlText w:val="•"/>
      <w:lvlJc w:val="left"/>
      <w:pPr>
        <w:ind w:left="1068" w:hanging="708"/>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C86843"/>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1004"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882790932">
    <w:abstractNumId w:val="1"/>
  </w:num>
  <w:num w:numId="2" w16cid:durableId="1898323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B"/>
    <w:rsid w:val="0038520B"/>
    <w:rsid w:val="00FF3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EBB7"/>
  <w15:chartTrackingRefBased/>
  <w15:docId w15:val="{8C9D2FB3-B2DB-4350-B27E-CB2113FF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520B"/>
    <w:pPr>
      <w:spacing w:after="0"/>
    </w:pPr>
    <w:rPr>
      <w:kern w:val="0"/>
      <w14:ligatures w14:val="none"/>
    </w:rPr>
  </w:style>
  <w:style w:type="paragraph" w:styleId="Kop1">
    <w:name w:val="heading 1"/>
    <w:basedOn w:val="Standaard"/>
    <w:next w:val="Standaard"/>
    <w:link w:val="Kop1Char"/>
    <w:uiPriority w:val="9"/>
    <w:qFormat/>
    <w:rsid w:val="0038520B"/>
    <w:pPr>
      <w:keepNext/>
      <w:keepLines/>
      <w:numPr>
        <w:numId w:val="1"/>
      </w:numPr>
      <w:spacing w:before="120"/>
      <w:outlineLvl w:val="0"/>
    </w:pPr>
    <w:rPr>
      <w:rFonts w:ascii="Calibri" w:eastAsiaTheme="majorEastAsia" w:hAnsi="Calibri" w:cstheme="majorBidi"/>
      <w:b/>
      <w:color w:val="6F3B8D"/>
      <w:sz w:val="28"/>
      <w:szCs w:val="32"/>
    </w:rPr>
  </w:style>
  <w:style w:type="paragraph" w:styleId="Kop2">
    <w:name w:val="heading 2"/>
    <w:basedOn w:val="Standaard"/>
    <w:next w:val="Standaard"/>
    <w:link w:val="Kop2Char"/>
    <w:uiPriority w:val="9"/>
    <w:unhideWhenUsed/>
    <w:qFormat/>
    <w:rsid w:val="0038520B"/>
    <w:pPr>
      <w:keepNext/>
      <w:keepLines/>
      <w:numPr>
        <w:ilvl w:val="1"/>
        <w:numId w:val="1"/>
      </w:numPr>
      <w:spacing w:before="40"/>
      <w:outlineLvl w:val="1"/>
    </w:pPr>
    <w:rPr>
      <w:rFonts w:ascii="Calibri" w:eastAsiaTheme="majorEastAsia" w:hAnsi="Calibri" w:cstheme="majorBidi"/>
      <w:b/>
      <w:color w:val="B0BA00"/>
      <w:sz w:val="24"/>
      <w:szCs w:val="26"/>
    </w:rPr>
  </w:style>
  <w:style w:type="paragraph" w:styleId="Kop3">
    <w:name w:val="heading 3"/>
    <w:basedOn w:val="Standaard"/>
    <w:next w:val="Standaard"/>
    <w:link w:val="Kop3Char"/>
    <w:uiPriority w:val="9"/>
    <w:unhideWhenUsed/>
    <w:qFormat/>
    <w:rsid w:val="0038520B"/>
    <w:pPr>
      <w:keepNext/>
      <w:keepLines/>
      <w:numPr>
        <w:ilvl w:val="2"/>
        <w:numId w:val="1"/>
      </w:numPr>
      <w:spacing w:before="40"/>
      <w:outlineLvl w:val="2"/>
    </w:pPr>
    <w:rPr>
      <w:rFonts w:ascii="Calibri" w:eastAsiaTheme="majorEastAsia" w:hAnsi="Calibri" w:cstheme="majorBidi"/>
      <w:color w:val="B0BA00"/>
      <w:szCs w:val="24"/>
    </w:rPr>
  </w:style>
  <w:style w:type="paragraph" w:styleId="Kop4">
    <w:name w:val="heading 4"/>
    <w:basedOn w:val="Standaard"/>
    <w:next w:val="Standaard"/>
    <w:link w:val="Kop4Char"/>
    <w:uiPriority w:val="9"/>
    <w:unhideWhenUsed/>
    <w:qFormat/>
    <w:rsid w:val="0038520B"/>
    <w:pPr>
      <w:keepNext/>
      <w:keepLines/>
      <w:numPr>
        <w:ilvl w:val="3"/>
        <w:numId w:val="1"/>
      </w:numPr>
      <w:spacing w:before="40"/>
      <w:outlineLvl w:val="3"/>
    </w:pPr>
    <w:rPr>
      <w:rFonts w:ascii="Calibri" w:eastAsiaTheme="majorEastAsia" w:hAnsi="Calibri" w:cstheme="majorBidi"/>
      <w:i/>
      <w:iCs/>
      <w:color w:val="B0BA00"/>
    </w:rPr>
  </w:style>
  <w:style w:type="paragraph" w:styleId="Kop5">
    <w:name w:val="heading 5"/>
    <w:aliases w:val="Bijlage"/>
    <w:basedOn w:val="Standaard"/>
    <w:next w:val="Standaard"/>
    <w:link w:val="Kop5Char"/>
    <w:uiPriority w:val="9"/>
    <w:unhideWhenUsed/>
    <w:qFormat/>
    <w:rsid w:val="0038520B"/>
    <w:pPr>
      <w:keepNext/>
      <w:keepLines/>
      <w:numPr>
        <w:ilvl w:val="4"/>
        <w:numId w:val="1"/>
      </w:numPr>
      <w:spacing w:before="40"/>
      <w:outlineLvl w:val="4"/>
    </w:pPr>
    <w:rPr>
      <w:rFonts w:ascii="Calibri" w:eastAsiaTheme="majorEastAsia" w:hAnsi="Calibri" w:cstheme="majorBidi"/>
      <w:b/>
      <w:color w:val="6F3B8D"/>
      <w:sz w:val="28"/>
    </w:rPr>
  </w:style>
  <w:style w:type="paragraph" w:styleId="Kop6">
    <w:name w:val="heading 6"/>
    <w:basedOn w:val="Standaard"/>
    <w:next w:val="Standaard"/>
    <w:link w:val="Kop6Char"/>
    <w:uiPriority w:val="9"/>
    <w:unhideWhenUsed/>
    <w:rsid w:val="0038520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rsid w:val="0038520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38520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38520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8520B"/>
    <w:rPr>
      <w:rFonts w:ascii="Calibri" w:eastAsiaTheme="majorEastAsia" w:hAnsi="Calibri" w:cstheme="majorBidi"/>
      <w:b/>
      <w:color w:val="6F3B8D"/>
      <w:kern w:val="0"/>
      <w:sz w:val="28"/>
      <w:szCs w:val="32"/>
      <w14:ligatures w14:val="none"/>
    </w:rPr>
  </w:style>
  <w:style w:type="character" w:customStyle="1" w:styleId="Kop2Char">
    <w:name w:val="Kop 2 Char"/>
    <w:basedOn w:val="Standaardalinea-lettertype"/>
    <w:link w:val="Kop2"/>
    <w:uiPriority w:val="9"/>
    <w:rsid w:val="0038520B"/>
    <w:rPr>
      <w:rFonts w:ascii="Calibri" w:eastAsiaTheme="majorEastAsia" w:hAnsi="Calibri" w:cstheme="majorBidi"/>
      <w:b/>
      <w:color w:val="B0BA00"/>
      <w:kern w:val="0"/>
      <w:sz w:val="24"/>
      <w:szCs w:val="26"/>
      <w14:ligatures w14:val="none"/>
    </w:rPr>
  </w:style>
  <w:style w:type="character" w:customStyle="1" w:styleId="Kop3Char">
    <w:name w:val="Kop 3 Char"/>
    <w:basedOn w:val="Standaardalinea-lettertype"/>
    <w:link w:val="Kop3"/>
    <w:uiPriority w:val="9"/>
    <w:rsid w:val="0038520B"/>
    <w:rPr>
      <w:rFonts w:ascii="Calibri" w:eastAsiaTheme="majorEastAsia" w:hAnsi="Calibri" w:cstheme="majorBidi"/>
      <w:color w:val="B0BA00"/>
      <w:kern w:val="0"/>
      <w:szCs w:val="24"/>
      <w14:ligatures w14:val="none"/>
    </w:rPr>
  </w:style>
  <w:style w:type="character" w:customStyle="1" w:styleId="Kop4Char">
    <w:name w:val="Kop 4 Char"/>
    <w:basedOn w:val="Standaardalinea-lettertype"/>
    <w:link w:val="Kop4"/>
    <w:uiPriority w:val="9"/>
    <w:rsid w:val="0038520B"/>
    <w:rPr>
      <w:rFonts w:ascii="Calibri" w:eastAsiaTheme="majorEastAsia" w:hAnsi="Calibri" w:cstheme="majorBidi"/>
      <w:i/>
      <w:iCs/>
      <w:color w:val="B0BA00"/>
      <w:kern w:val="0"/>
      <w14:ligatures w14:val="none"/>
    </w:rPr>
  </w:style>
  <w:style w:type="character" w:customStyle="1" w:styleId="Kop5Char">
    <w:name w:val="Kop 5 Char"/>
    <w:basedOn w:val="Standaardalinea-lettertype"/>
    <w:link w:val="Kop5"/>
    <w:uiPriority w:val="9"/>
    <w:rsid w:val="0038520B"/>
    <w:rPr>
      <w:rFonts w:ascii="Calibri" w:eastAsiaTheme="majorEastAsia" w:hAnsi="Calibri" w:cstheme="majorBidi"/>
      <w:b/>
      <w:color w:val="6F3B8D"/>
      <w:kern w:val="0"/>
      <w:sz w:val="28"/>
      <w14:ligatures w14:val="none"/>
    </w:rPr>
  </w:style>
  <w:style w:type="character" w:customStyle="1" w:styleId="Kop6Char">
    <w:name w:val="Kop 6 Char"/>
    <w:basedOn w:val="Standaardalinea-lettertype"/>
    <w:link w:val="Kop6"/>
    <w:uiPriority w:val="9"/>
    <w:rsid w:val="0038520B"/>
    <w:rPr>
      <w:rFonts w:asciiTheme="majorHAnsi" w:eastAsiaTheme="majorEastAsia" w:hAnsiTheme="majorHAnsi" w:cstheme="majorBidi"/>
      <w:color w:val="1F3763" w:themeColor="accent1" w:themeShade="7F"/>
      <w:kern w:val="0"/>
      <w14:ligatures w14:val="none"/>
    </w:rPr>
  </w:style>
  <w:style w:type="character" w:customStyle="1" w:styleId="Kop7Char">
    <w:name w:val="Kop 7 Char"/>
    <w:basedOn w:val="Standaardalinea-lettertype"/>
    <w:link w:val="Kop7"/>
    <w:uiPriority w:val="9"/>
    <w:semiHidden/>
    <w:rsid w:val="0038520B"/>
    <w:rPr>
      <w:rFonts w:asciiTheme="majorHAnsi" w:eastAsiaTheme="majorEastAsia" w:hAnsiTheme="majorHAnsi" w:cstheme="majorBidi"/>
      <w:i/>
      <w:iCs/>
      <w:color w:val="1F3763" w:themeColor="accent1" w:themeShade="7F"/>
      <w:kern w:val="0"/>
      <w14:ligatures w14:val="none"/>
    </w:rPr>
  </w:style>
  <w:style w:type="character" w:customStyle="1" w:styleId="Kop8Char">
    <w:name w:val="Kop 8 Char"/>
    <w:basedOn w:val="Standaardalinea-lettertype"/>
    <w:link w:val="Kop8"/>
    <w:uiPriority w:val="9"/>
    <w:semiHidden/>
    <w:rsid w:val="0038520B"/>
    <w:rPr>
      <w:rFonts w:asciiTheme="majorHAnsi" w:eastAsiaTheme="majorEastAsia" w:hAnsiTheme="majorHAnsi" w:cstheme="majorBidi"/>
      <w:color w:val="272727" w:themeColor="text1" w:themeTint="D8"/>
      <w:kern w:val="0"/>
      <w:sz w:val="21"/>
      <w:szCs w:val="21"/>
      <w14:ligatures w14:val="none"/>
    </w:rPr>
  </w:style>
  <w:style w:type="character" w:customStyle="1" w:styleId="Kop9Char">
    <w:name w:val="Kop 9 Char"/>
    <w:basedOn w:val="Standaardalinea-lettertype"/>
    <w:link w:val="Kop9"/>
    <w:uiPriority w:val="9"/>
    <w:semiHidden/>
    <w:rsid w:val="0038520B"/>
    <w:rPr>
      <w:rFonts w:asciiTheme="majorHAnsi" w:eastAsiaTheme="majorEastAsia" w:hAnsiTheme="majorHAnsi" w:cstheme="majorBidi"/>
      <w:i/>
      <w:iCs/>
      <w:color w:val="272727" w:themeColor="text1" w:themeTint="D8"/>
      <w:kern w:val="0"/>
      <w:sz w:val="21"/>
      <w:szCs w:val="21"/>
      <w14:ligatures w14:val="none"/>
    </w:rPr>
  </w:style>
  <w:style w:type="character" w:styleId="Hyperlink">
    <w:name w:val="Hyperlink"/>
    <w:basedOn w:val="Standaardalinea-lettertype"/>
    <w:uiPriority w:val="99"/>
    <w:unhideWhenUsed/>
    <w:rsid w:val="0038520B"/>
    <w:rPr>
      <w:color w:val="0563C1" w:themeColor="hyperlink"/>
      <w:u w:val="single"/>
    </w:rPr>
  </w:style>
  <w:style w:type="paragraph" w:styleId="Lijstalinea">
    <w:name w:val="List Paragraph"/>
    <w:basedOn w:val="Standaard"/>
    <w:uiPriority w:val="34"/>
    <w:qFormat/>
    <w:rsid w:val="0038520B"/>
    <w:pPr>
      <w:ind w:left="720"/>
      <w:contextualSpacing/>
    </w:pPr>
  </w:style>
  <w:style w:type="character" w:styleId="GevolgdeHyperlink">
    <w:name w:val="FollowedHyperlink"/>
    <w:basedOn w:val="Standaardalinea-lettertype"/>
    <w:uiPriority w:val="99"/>
    <w:semiHidden/>
    <w:unhideWhenUsed/>
    <w:rsid w:val="003852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ent.sharepoint.com/scholen/wingerd/Leerkrachten/13-Kwaliteitskaarten,%20protocollen%20en%20beleid/Protocollen/Schoolveiligheidsplan/Sociale%20Veiligheid%20Protocol%20kanjer.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2752</Characters>
  <Application>Microsoft Office Word</Application>
  <DocSecurity>0</DocSecurity>
  <Lines>22</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Roemeling</dc:creator>
  <cp:keywords/>
  <dc:description/>
  <cp:lastModifiedBy>Suzanne Roemeling</cp:lastModifiedBy>
  <cp:revision>1</cp:revision>
  <dcterms:created xsi:type="dcterms:W3CDTF">2024-04-09T11:19:00Z</dcterms:created>
  <dcterms:modified xsi:type="dcterms:W3CDTF">2024-04-09T11:20:00Z</dcterms:modified>
</cp:coreProperties>
</file>