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02" w:rsidRPr="003E5F31" w:rsidRDefault="00884B02" w:rsidP="00884B02">
      <w:pPr>
        <w:pStyle w:val="Kop1"/>
      </w:pPr>
      <w:bookmarkStart w:id="0" w:name="_Toc365626505"/>
      <w:r w:rsidRPr="003E5F31">
        <w:t>De eindopbrengsten</w:t>
      </w:r>
      <w:bookmarkEnd w:id="0"/>
    </w:p>
    <w:p w:rsidR="00884B02" w:rsidRPr="00D6140A" w:rsidRDefault="00884B02" w:rsidP="00884B02">
      <w:pPr>
        <w:rPr>
          <w:lang w:eastAsia="nl-NL"/>
        </w:rPr>
      </w:pPr>
    </w:p>
    <w:p w:rsidR="00884B02" w:rsidRPr="00260A3E" w:rsidRDefault="00884B02" w:rsidP="00884B02">
      <w:pPr>
        <w:pStyle w:val="Geenafstand"/>
        <w:pBdr>
          <w:top w:val="single" w:sz="4" w:space="1" w:color="auto"/>
          <w:left w:val="single" w:sz="4" w:space="4" w:color="auto"/>
          <w:bottom w:val="single" w:sz="4" w:space="1" w:color="auto"/>
          <w:right w:val="single" w:sz="4" w:space="4" w:color="auto"/>
        </w:pBdr>
      </w:pPr>
      <w:r w:rsidRPr="00260A3E">
        <w:t xml:space="preserve">De resultaten van de leerlingen aan het eind van de basisschool liggen tenminste op het niveau dat op grond van de kenmerken van de leerlingenpopulatie mag worden verwacht. </w:t>
      </w:r>
    </w:p>
    <w:p w:rsidR="00884B02" w:rsidRDefault="00884B02" w:rsidP="00884B02">
      <w:pPr>
        <w:rPr>
          <w:rFonts w:ascii="Arial" w:hAnsi="Arial" w:cs="Arial"/>
          <w:sz w:val="20"/>
          <w:szCs w:val="20"/>
        </w:rPr>
      </w:pPr>
    </w:p>
    <w:p w:rsidR="00884B02" w:rsidRPr="00260A3E" w:rsidRDefault="00884B02" w:rsidP="00884B02">
      <w:pPr>
        <w:pStyle w:val="Geenafstand"/>
      </w:pPr>
      <w:r w:rsidRPr="00260A3E">
        <w:t xml:space="preserve">De ontwikkeling van de leerlingen aan het eind van de basisschool meten we met een eindtoets. In beginsel laten we daaraan alle leerlingen meedoen. Leerlingen die uitstromen naar het </w:t>
      </w:r>
      <w:proofErr w:type="spellStart"/>
      <w:r w:rsidRPr="00260A3E">
        <w:t>praktijk-onderwijs</w:t>
      </w:r>
      <w:proofErr w:type="spellEnd"/>
      <w:r w:rsidRPr="00260A3E">
        <w:t xml:space="preserve">, het voortgezet speciaal onderwijs en/of leerlingen die minder dan vier jaar in Nederland zijn en grote problemen hebben met de taal laten we niet meedoen met de reguliere eindtoets. Zij maken een niveautoets. We garanderen een zorgvuldige </w:t>
      </w:r>
      <w:proofErr w:type="spellStart"/>
      <w:r w:rsidRPr="00260A3E">
        <w:t>toetsafname</w:t>
      </w:r>
      <w:proofErr w:type="spellEnd"/>
      <w:r w:rsidRPr="00260A3E">
        <w:t xml:space="preserve">, omdat we ons exact houden aan de voorschriften. </w:t>
      </w:r>
    </w:p>
    <w:p w:rsidR="00884B02" w:rsidRPr="00260A3E" w:rsidRDefault="00884B02" w:rsidP="00884B02">
      <w:pPr>
        <w:pStyle w:val="Geenafstand"/>
      </w:pPr>
      <w:r w:rsidRPr="00260A3E">
        <w:t xml:space="preserve">De uitslagen worden met behulp van de normen in Analyse en waarderingen van opbrengsten primair onderwijs geanalyseerd. Deze waardering is ingevoerd in ons leerlingvolgsysteem </w:t>
      </w:r>
      <w:proofErr w:type="spellStart"/>
      <w:r w:rsidRPr="00260A3E">
        <w:t>Parnassys</w:t>
      </w:r>
      <w:proofErr w:type="spellEnd"/>
      <w:r w:rsidRPr="00260A3E">
        <w:t xml:space="preserve"> en direct in te zien op de inspectiekaart. Daardoor weten we of de resultaten liggen op het niveau dat mag worden verwacht op grond van de leerlingenpopulatie. </w:t>
      </w:r>
    </w:p>
    <w:p w:rsidR="00884B02" w:rsidRPr="00260A3E" w:rsidRDefault="00884B02" w:rsidP="00884B02">
      <w:pPr>
        <w:pStyle w:val="Geenafstand"/>
      </w:pPr>
      <w:r w:rsidRPr="00260A3E">
        <w:t>De resultaten van de Cito eindtoets worden geanalyseerd en kunnen leiden tot aanpassingen in het aanbod, de instructie en het model dat we hanteren voor differentiatie. De uitslagen van de eindtoets worden gepub</w:t>
      </w:r>
      <w:r>
        <w:t>liceerd op onze website en in het Katern Opbrengsten als bijlage van de schoolgids</w:t>
      </w:r>
      <w:r w:rsidRPr="00260A3E">
        <w:t xml:space="preserve">. Tevens worden de resultaten besproken met de medezeggenschapsraad en het bestuur. </w:t>
      </w:r>
    </w:p>
    <w:p w:rsidR="00884B02" w:rsidRPr="00260A3E" w:rsidRDefault="00884B02" w:rsidP="00884B02">
      <w:pPr>
        <w:pStyle w:val="Kop2"/>
      </w:pPr>
      <w:bookmarkStart w:id="1" w:name="_Toc365548406"/>
      <w:bookmarkStart w:id="2" w:name="_Toc365626506"/>
      <w:proofErr w:type="spellStart"/>
      <w:r w:rsidRPr="00260A3E">
        <w:t>Toetsuitslagen</w:t>
      </w:r>
      <w:bookmarkEnd w:id="1"/>
      <w:bookmarkEnd w:id="2"/>
      <w:proofErr w:type="spellEnd"/>
    </w:p>
    <w:p w:rsidR="00884B02" w:rsidRPr="00D6140A" w:rsidRDefault="00884B02" w:rsidP="00884B02">
      <w:pPr>
        <w:rPr>
          <w:rFonts w:ascii="Arial" w:hAnsi="Arial" w:cs="Arial"/>
          <w:sz w:val="20"/>
          <w:szCs w:val="20"/>
          <w:u w:val="single"/>
        </w:rPr>
      </w:pPr>
      <w:r w:rsidRPr="00D6140A">
        <w:rPr>
          <w:rFonts w:ascii="Arial" w:hAnsi="Arial" w:cs="Arial"/>
          <w:sz w:val="20"/>
          <w:szCs w:val="20"/>
          <w:u w:val="single"/>
        </w:rPr>
        <w:t>Eindtoets</w:t>
      </w:r>
    </w:p>
    <w:tbl>
      <w:tblPr>
        <w:tblW w:w="5000" w:type="pct"/>
        <w:tblCellMar>
          <w:left w:w="0" w:type="dxa"/>
          <w:right w:w="0" w:type="dxa"/>
        </w:tblCellMar>
        <w:tblLook w:val="04A0" w:firstRow="1" w:lastRow="0" w:firstColumn="1" w:lastColumn="0" w:noHBand="0" w:noVBand="1"/>
      </w:tblPr>
      <w:tblGrid>
        <w:gridCol w:w="1488"/>
        <w:gridCol w:w="1504"/>
        <w:gridCol w:w="1520"/>
        <w:gridCol w:w="1519"/>
        <w:gridCol w:w="1520"/>
        <w:gridCol w:w="1505"/>
      </w:tblGrid>
      <w:tr w:rsidR="00884B02" w:rsidRPr="00260A3E" w:rsidTr="000E7CC0">
        <w:trPr>
          <w:tblHeader/>
        </w:trPr>
        <w:tc>
          <w:tcPr>
            <w:tcW w:w="1488" w:type="dxa"/>
            <w:tcBorders>
              <w:top w:val="single" w:sz="6" w:space="0" w:color="161616"/>
              <w:left w:val="single" w:sz="6" w:space="0" w:color="161616"/>
              <w:bottom w:val="single" w:sz="6" w:space="0" w:color="161616"/>
              <w:right w:val="single" w:sz="6" w:space="0" w:color="161616"/>
            </w:tcBorders>
            <w:shd w:val="clear" w:color="auto" w:fill="DEEAF6" w:themeFill="accent1" w:themeFillTint="33"/>
            <w:tcMar>
              <w:top w:w="30" w:type="dxa"/>
              <w:left w:w="30" w:type="dxa"/>
              <w:bottom w:w="30" w:type="dxa"/>
              <w:right w:w="30" w:type="dxa"/>
            </w:tcMar>
            <w:vAlign w:val="center"/>
            <w:hideMark/>
          </w:tcPr>
          <w:p w:rsidR="00884B02" w:rsidRPr="00260A3E" w:rsidRDefault="00884B02" w:rsidP="000E7CC0">
            <w:pPr>
              <w:pStyle w:val="Geenafstand"/>
            </w:pPr>
            <w:r w:rsidRPr="00260A3E">
              <w:t>Jaar</w:t>
            </w:r>
          </w:p>
        </w:tc>
        <w:tc>
          <w:tcPr>
            <w:tcW w:w="1504" w:type="dxa"/>
            <w:tcBorders>
              <w:top w:val="single" w:sz="6" w:space="0" w:color="161616"/>
              <w:left w:val="single" w:sz="6" w:space="0" w:color="161616"/>
              <w:bottom w:val="single" w:sz="6" w:space="0" w:color="161616"/>
              <w:right w:val="single" w:sz="6" w:space="0" w:color="161616"/>
            </w:tcBorders>
            <w:shd w:val="clear" w:color="auto" w:fill="DEEAF6" w:themeFill="accent1" w:themeFillTint="33"/>
            <w:tcMar>
              <w:top w:w="30" w:type="dxa"/>
              <w:left w:w="30" w:type="dxa"/>
              <w:bottom w:w="30" w:type="dxa"/>
              <w:right w:w="30" w:type="dxa"/>
            </w:tcMar>
            <w:vAlign w:val="center"/>
            <w:hideMark/>
          </w:tcPr>
          <w:p w:rsidR="00884B02" w:rsidRPr="00260A3E" w:rsidRDefault="00884B02" w:rsidP="000E7CC0">
            <w:pPr>
              <w:pStyle w:val="Geenafstand"/>
            </w:pPr>
            <w:r w:rsidRPr="00260A3E">
              <w:t>Gewicht</w:t>
            </w:r>
          </w:p>
        </w:tc>
        <w:tc>
          <w:tcPr>
            <w:tcW w:w="1520" w:type="dxa"/>
            <w:tcBorders>
              <w:top w:val="single" w:sz="6" w:space="0" w:color="161616"/>
              <w:left w:val="single" w:sz="6" w:space="0" w:color="161616"/>
              <w:bottom w:val="single" w:sz="6" w:space="0" w:color="161616"/>
              <w:right w:val="single" w:sz="6" w:space="0" w:color="161616"/>
            </w:tcBorders>
            <w:shd w:val="clear" w:color="auto" w:fill="DEEAF6" w:themeFill="accent1" w:themeFillTint="33"/>
            <w:tcMar>
              <w:top w:w="30" w:type="dxa"/>
              <w:left w:w="30" w:type="dxa"/>
              <w:bottom w:w="30" w:type="dxa"/>
              <w:right w:w="30" w:type="dxa"/>
            </w:tcMar>
            <w:vAlign w:val="center"/>
            <w:hideMark/>
          </w:tcPr>
          <w:p w:rsidR="00884B02" w:rsidRPr="00260A3E" w:rsidRDefault="00884B02" w:rsidP="000E7CC0">
            <w:pPr>
              <w:pStyle w:val="Geenafstand"/>
            </w:pPr>
            <w:r w:rsidRPr="00260A3E">
              <w:t>Ondergrens</w:t>
            </w:r>
          </w:p>
        </w:tc>
        <w:tc>
          <w:tcPr>
            <w:tcW w:w="1519" w:type="dxa"/>
            <w:tcBorders>
              <w:top w:val="single" w:sz="6" w:space="0" w:color="161616"/>
              <w:left w:val="single" w:sz="6" w:space="0" w:color="161616"/>
              <w:bottom w:val="single" w:sz="6" w:space="0" w:color="161616"/>
              <w:right w:val="single" w:sz="6" w:space="0" w:color="161616"/>
            </w:tcBorders>
            <w:shd w:val="clear" w:color="auto" w:fill="DEEAF6" w:themeFill="accent1" w:themeFillTint="33"/>
            <w:tcMar>
              <w:top w:w="30" w:type="dxa"/>
              <w:left w:w="30" w:type="dxa"/>
              <w:bottom w:w="30" w:type="dxa"/>
              <w:right w:w="30" w:type="dxa"/>
            </w:tcMar>
            <w:vAlign w:val="center"/>
            <w:hideMark/>
          </w:tcPr>
          <w:p w:rsidR="00884B02" w:rsidRPr="00260A3E" w:rsidRDefault="00884B02" w:rsidP="000E7CC0">
            <w:pPr>
              <w:pStyle w:val="Geenafstand"/>
            </w:pPr>
            <w:r w:rsidRPr="00260A3E">
              <w:t>Landelijk gemiddelde</w:t>
            </w:r>
            <w:r>
              <w:t xml:space="preserve"> LG</w:t>
            </w:r>
          </w:p>
        </w:tc>
        <w:tc>
          <w:tcPr>
            <w:tcW w:w="1520" w:type="dxa"/>
            <w:tcBorders>
              <w:top w:val="single" w:sz="6" w:space="0" w:color="161616"/>
              <w:left w:val="single" w:sz="6" w:space="0" w:color="161616"/>
              <w:bottom w:val="single" w:sz="6" w:space="0" w:color="161616"/>
              <w:right w:val="single" w:sz="6" w:space="0" w:color="161616"/>
            </w:tcBorders>
            <w:shd w:val="clear" w:color="auto" w:fill="DEEAF6" w:themeFill="accent1" w:themeFillTint="33"/>
            <w:tcMar>
              <w:top w:w="30" w:type="dxa"/>
              <w:left w:w="30" w:type="dxa"/>
              <w:bottom w:w="30" w:type="dxa"/>
              <w:right w:w="30" w:type="dxa"/>
            </w:tcMar>
            <w:vAlign w:val="center"/>
            <w:hideMark/>
          </w:tcPr>
          <w:p w:rsidR="00884B02" w:rsidRPr="00260A3E" w:rsidRDefault="00884B02" w:rsidP="000E7CC0">
            <w:pPr>
              <w:pStyle w:val="Geenafstand"/>
            </w:pPr>
            <w:r w:rsidRPr="00260A3E">
              <w:t>Bovengrens</w:t>
            </w:r>
          </w:p>
        </w:tc>
        <w:tc>
          <w:tcPr>
            <w:tcW w:w="1505" w:type="dxa"/>
            <w:tcBorders>
              <w:top w:val="single" w:sz="6" w:space="0" w:color="161616"/>
              <w:left w:val="single" w:sz="6" w:space="0" w:color="161616"/>
              <w:bottom w:val="single" w:sz="6" w:space="0" w:color="161616"/>
              <w:right w:val="single" w:sz="6" w:space="0" w:color="161616"/>
            </w:tcBorders>
            <w:shd w:val="clear" w:color="auto" w:fill="DEEAF6" w:themeFill="accent1" w:themeFillTint="33"/>
            <w:tcMar>
              <w:top w:w="30" w:type="dxa"/>
              <w:left w:w="30" w:type="dxa"/>
              <w:bottom w:w="30" w:type="dxa"/>
              <w:right w:w="30" w:type="dxa"/>
            </w:tcMar>
            <w:vAlign w:val="center"/>
            <w:hideMark/>
          </w:tcPr>
          <w:p w:rsidR="00884B02" w:rsidRPr="00260A3E" w:rsidRDefault="00884B02" w:rsidP="000E7CC0">
            <w:pPr>
              <w:pStyle w:val="Geenafstand"/>
              <w:ind w:left="0"/>
            </w:pPr>
            <w:r w:rsidRPr="00260A3E">
              <w:t>Schoolscore</w:t>
            </w:r>
            <w:r>
              <w:t xml:space="preserve"> LG</w:t>
            </w:r>
          </w:p>
        </w:tc>
      </w:tr>
      <w:tr w:rsidR="00884B02" w:rsidRPr="00260A3E" w:rsidTr="000E7CC0">
        <w:tc>
          <w:tcPr>
            <w:tcW w:w="1488"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ind w:left="0"/>
            </w:pPr>
            <w:r>
              <w:t xml:space="preserve">2011 – </w:t>
            </w:r>
            <w:r w:rsidRPr="00260A3E">
              <w:t>2012</w:t>
            </w:r>
          </w:p>
        </w:tc>
        <w:tc>
          <w:tcPr>
            <w:tcW w:w="1504"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pPr>
            <w:r w:rsidRPr="00260A3E">
              <w:t>0%</w:t>
            </w:r>
          </w:p>
        </w:tc>
        <w:tc>
          <w:tcPr>
            <w:tcW w:w="1520"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pPr>
            <w:r w:rsidRPr="00260A3E">
              <w:t>535.2</w:t>
            </w:r>
          </w:p>
        </w:tc>
        <w:tc>
          <w:tcPr>
            <w:tcW w:w="1519"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pPr>
            <w:r>
              <w:t>535.3</w:t>
            </w:r>
          </w:p>
        </w:tc>
        <w:tc>
          <w:tcPr>
            <w:tcW w:w="1520"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pPr>
            <w:r w:rsidRPr="00260A3E">
              <w:t>539.2</w:t>
            </w:r>
          </w:p>
        </w:tc>
        <w:tc>
          <w:tcPr>
            <w:tcW w:w="1505" w:type="dxa"/>
            <w:tcBorders>
              <w:top w:val="single" w:sz="6" w:space="0" w:color="161616"/>
              <w:left w:val="single" w:sz="6" w:space="0" w:color="161616"/>
              <w:bottom w:val="single" w:sz="6" w:space="0" w:color="161616"/>
              <w:right w:val="single" w:sz="6" w:space="0" w:color="161616"/>
            </w:tcBorders>
            <w:shd w:val="clear" w:color="auto" w:fill="92D050"/>
            <w:tcMar>
              <w:top w:w="30" w:type="dxa"/>
              <w:left w:w="30" w:type="dxa"/>
              <w:bottom w:w="30" w:type="dxa"/>
              <w:right w:w="30" w:type="dxa"/>
            </w:tcMar>
            <w:vAlign w:val="center"/>
          </w:tcPr>
          <w:p w:rsidR="00884B02" w:rsidRPr="00260A3E" w:rsidRDefault="00884B02" w:rsidP="000E7CC0">
            <w:pPr>
              <w:pStyle w:val="Geenafstand"/>
            </w:pPr>
            <w:r>
              <w:t>536,9</w:t>
            </w:r>
          </w:p>
        </w:tc>
      </w:tr>
      <w:tr w:rsidR="00884B02" w:rsidRPr="00260A3E" w:rsidTr="000E7CC0">
        <w:tc>
          <w:tcPr>
            <w:tcW w:w="1488"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ind w:left="0"/>
            </w:pPr>
            <w:r w:rsidRPr="00260A3E">
              <w:t>2012</w:t>
            </w:r>
            <w:r>
              <w:t xml:space="preserve"> – </w:t>
            </w:r>
            <w:r w:rsidRPr="00260A3E">
              <w:t>2013</w:t>
            </w:r>
          </w:p>
        </w:tc>
        <w:tc>
          <w:tcPr>
            <w:tcW w:w="1504"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pPr>
            <w:r w:rsidRPr="00260A3E">
              <w:t>0%</w:t>
            </w:r>
          </w:p>
        </w:tc>
        <w:tc>
          <w:tcPr>
            <w:tcW w:w="1520"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pPr>
            <w:r w:rsidRPr="00260A3E">
              <w:t>535.2</w:t>
            </w:r>
          </w:p>
        </w:tc>
        <w:tc>
          <w:tcPr>
            <w:tcW w:w="1519"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pPr>
            <w:r>
              <w:t>534.8</w:t>
            </w:r>
          </w:p>
        </w:tc>
        <w:tc>
          <w:tcPr>
            <w:tcW w:w="1520"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pPr>
            <w:r w:rsidRPr="00260A3E">
              <w:t>539.2</w:t>
            </w:r>
          </w:p>
        </w:tc>
        <w:tc>
          <w:tcPr>
            <w:tcW w:w="1505" w:type="dxa"/>
            <w:tcBorders>
              <w:top w:val="single" w:sz="6" w:space="0" w:color="161616"/>
              <w:left w:val="single" w:sz="6" w:space="0" w:color="161616"/>
              <w:bottom w:val="single" w:sz="6" w:space="0" w:color="161616"/>
              <w:right w:val="single" w:sz="6" w:space="0" w:color="161616"/>
            </w:tcBorders>
            <w:shd w:val="clear" w:color="auto" w:fill="92D050"/>
            <w:tcMar>
              <w:top w:w="30" w:type="dxa"/>
              <w:left w:w="30" w:type="dxa"/>
              <w:bottom w:w="30" w:type="dxa"/>
              <w:right w:w="30" w:type="dxa"/>
            </w:tcMar>
            <w:vAlign w:val="center"/>
          </w:tcPr>
          <w:p w:rsidR="00884B02" w:rsidRPr="00260A3E" w:rsidRDefault="00884B02" w:rsidP="000E7CC0">
            <w:pPr>
              <w:pStyle w:val="Geenafstand"/>
            </w:pPr>
            <w:r>
              <w:t>537,1</w:t>
            </w:r>
          </w:p>
        </w:tc>
      </w:tr>
      <w:tr w:rsidR="00884B02" w:rsidRPr="00260A3E" w:rsidTr="000E7CC0">
        <w:tc>
          <w:tcPr>
            <w:tcW w:w="1488"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ind w:left="0"/>
            </w:pPr>
            <w:r>
              <w:t>2013-2014</w:t>
            </w:r>
          </w:p>
        </w:tc>
        <w:tc>
          <w:tcPr>
            <w:tcW w:w="1504"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pPr>
            <w:r>
              <w:t>0%</w:t>
            </w:r>
          </w:p>
        </w:tc>
        <w:tc>
          <w:tcPr>
            <w:tcW w:w="1520"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pPr>
            <w:r>
              <w:t>532.8</w:t>
            </w:r>
          </w:p>
        </w:tc>
        <w:tc>
          <w:tcPr>
            <w:tcW w:w="1519"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pPr>
            <w:r>
              <w:t>534.6</w:t>
            </w:r>
          </w:p>
        </w:tc>
        <w:tc>
          <w:tcPr>
            <w:tcW w:w="1520" w:type="dxa"/>
            <w:tcBorders>
              <w:top w:val="single" w:sz="6" w:space="0" w:color="161616"/>
              <w:left w:val="single" w:sz="6" w:space="0" w:color="161616"/>
              <w:bottom w:val="single" w:sz="6" w:space="0" w:color="161616"/>
              <w:right w:val="single" w:sz="6" w:space="0" w:color="161616"/>
            </w:tcBorders>
            <w:tcMar>
              <w:top w:w="30" w:type="dxa"/>
              <w:left w:w="30" w:type="dxa"/>
              <w:bottom w:w="30" w:type="dxa"/>
              <w:right w:w="30" w:type="dxa"/>
            </w:tcMar>
            <w:vAlign w:val="center"/>
          </w:tcPr>
          <w:p w:rsidR="00884B02" w:rsidRPr="00260A3E" w:rsidRDefault="00884B02" w:rsidP="000E7CC0">
            <w:pPr>
              <w:pStyle w:val="Geenafstand"/>
            </w:pPr>
            <w:r>
              <w:t>538.0</w:t>
            </w:r>
          </w:p>
        </w:tc>
        <w:tc>
          <w:tcPr>
            <w:tcW w:w="1505" w:type="dxa"/>
            <w:tcBorders>
              <w:top w:val="single" w:sz="6" w:space="0" w:color="161616"/>
              <w:left w:val="single" w:sz="6" w:space="0" w:color="161616"/>
              <w:bottom w:val="single" w:sz="6" w:space="0" w:color="161616"/>
              <w:right w:val="single" w:sz="6" w:space="0" w:color="161616"/>
            </w:tcBorders>
            <w:shd w:val="clear" w:color="auto" w:fill="92D050"/>
            <w:tcMar>
              <w:top w:w="30" w:type="dxa"/>
              <w:left w:w="30" w:type="dxa"/>
              <w:bottom w:w="30" w:type="dxa"/>
              <w:right w:w="30" w:type="dxa"/>
            </w:tcMar>
            <w:vAlign w:val="center"/>
          </w:tcPr>
          <w:p w:rsidR="00884B02" w:rsidRPr="00260A3E" w:rsidRDefault="00884B02" w:rsidP="000E7CC0">
            <w:pPr>
              <w:pStyle w:val="Geenafstand"/>
            </w:pPr>
            <w:r>
              <w:t>535.0</w:t>
            </w:r>
          </w:p>
        </w:tc>
      </w:tr>
    </w:tbl>
    <w:p w:rsidR="00884B02" w:rsidRDefault="00884B02" w:rsidP="00884B02">
      <w:pPr>
        <w:rPr>
          <w:rFonts w:ascii="Arial" w:hAnsi="Arial" w:cs="Arial"/>
          <w:i/>
          <w:sz w:val="20"/>
          <w:szCs w:val="20"/>
        </w:rPr>
      </w:pPr>
    </w:p>
    <w:p w:rsidR="00884B02" w:rsidRPr="006721FA" w:rsidRDefault="00884B02" w:rsidP="00884B02">
      <w:pPr>
        <w:rPr>
          <w:rFonts w:ascii="Arial" w:hAnsi="Arial" w:cs="Arial"/>
          <w:i/>
          <w:sz w:val="20"/>
          <w:szCs w:val="20"/>
        </w:rPr>
      </w:pPr>
      <w:r w:rsidRPr="006721FA">
        <w:rPr>
          <w:rFonts w:ascii="Arial" w:hAnsi="Arial" w:cs="Arial"/>
          <w:i/>
          <w:sz w:val="20"/>
          <w:szCs w:val="20"/>
        </w:rPr>
        <w:t>*Ongecorrige</w:t>
      </w:r>
      <w:r>
        <w:rPr>
          <w:rFonts w:ascii="Arial" w:hAnsi="Arial" w:cs="Arial"/>
          <w:i/>
          <w:sz w:val="20"/>
          <w:szCs w:val="20"/>
        </w:rPr>
        <w:t>erde score eindtoets 2014:537.4</w:t>
      </w:r>
    </w:p>
    <w:p w:rsidR="00884B02" w:rsidRPr="006721FA" w:rsidRDefault="00884B02" w:rsidP="00884B02">
      <w:pPr>
        <w:rPr>
          <w:rFonts w:ascii="Arial" w:hAnsi="Arial" w:cs="Arial"/>
          <w:i/>
          <w:sz w:val="20"/>
          <w:szCs w:val="20"/>
        </w:rPr>
      </w:pPr>
    </w:p>
    <w:p w:rsidR="00884B02" w:rsidRPr="006721FA" w:rsidRDefault="00884B02" w:rsidP="00884B02">
      <w:pPr>
        <w:pStyle w:val="Geenafstand"/>
        <w:rPr>
          <w:rFonts w:cs="Arial"/>
          <w:i/>
          <w:szCs w:val="20"/>
        </w:rPr>
      </w:pPr>
      <w:r w:rsidRPr="00D6140A">
        <w:t xml:space="preserve">Zowel op de Cito Eindtoets als op de Entreetoets worden scores behaald die boven de inspectienorm liggen. De scores op de Cito Eindtoets en Entreetoets worden gegeven als scores zonder correctie en scores met correctie. Bij de score zonder correctie worden de gemiddelden van de school vergeleken met de gemiddelden van alle deelnemende scholen. Hierbij wordt geen rekening gehouden met kenmerken van de school of de leerlingen. </w:t>
      </w:r>
    </w:p>
    <w:p w:rsidR="00884B02" w:rsidRDefault="00884B02" w:rsidP="00884B02">
      <w:pPr>
        <w:pStyle w:val="Geenafstand"/>
      </w:pPr>
      <w:r w:rsidRPr="00D6140A">
        <w:t xml:space="preserve">Bij de score met correctie van het leerling gewicht (LG) geeft een vergelijking van de schoolgemiddelden met dat van scholen die, gelet op de sociaal-culturele achtergrond van de leerlingen, met de school vergelijkbaar zijn. </w:t>
      </w:r>
      <w:r>
        <w:t>Boeimeer</w:t>
      </w:r>
      <w:r w:rsidRPr="00D6140A">
        <w:t xml:space="preserve"> valt in schoolcategorie 1 (correctie &lt; 15 %).</w:t>
      </w:r>
    </w:p>
    <w:p w:rsidR="00884B02" w:rsidRPr="00D6140A" w:rsidRDefault="00884B02" w:rsidP="00884B02">
      <w:pPr>
        <w:pStyle w:val="Geenafstand"/>
      </w:pPr>
    </w:p>
    <w:p w:rsidR="00884B02" w:rsidRDefault="00884B02" w:rsidP="00884B02">
      <w:pPr>
        <w:pStyle w:val="Geenafstand"/>
      </w:pPr>
    </w:p>
    <w:p w:rsidR="00884B02" w:rsidRPr="00D6140A" w:rsidRDefault="00884B02" w:rsidP="00884B02">
      <w:pPr>
        <w:pStyle w:val="Geenafstand"/>
      </w:pPr>
      <w:r>
        <w:t xml:space="preserve">De afgelopen drie schooljaren </w:t>
      </w:r>
      <w:r w:rsidRPr="00D6140A">
        <w:t xml:space="preserve">zijn de volgende scores op de </w:t>
      </w:r>
      <w:r w:rsidRPr="00FB38C5">
        <w:rPr>
          <w:b/>
        </w:rPr>
        <w:t>Eindtoets</w:t>
      </w:r>
      <w:r w:rsidRPr="00D6140A">
        <w:t xml:space="preserve"> behaald:</w:t>
      </w:r>
    </w:p>
    <w:p w:rsidR="00884B02" w:rsidRPr="00D6140A" w:rsidRDefault="00884B02" w:rsidP="00884B02">
      <w:pPr>
        <w:pStyle w:val="Geenafstand"/>
        <w:numPr>
          <w:ilvl w:val="0"/>
          <w:numId w:val="1"/>
        </w:numPr>
      </w:pPr>
      <w:r>
        <w:t>2012:</w:t>
      </w:r>
      <w:r>
        <w:tab/>
        <w:t>539,6</w:t>
      </w:r>
      <w:r>
        <w:tab/>
        <w:t>(LG: 536.9</w:t>
      </w:r>
      <w:r w:rsidRPr="00D6140A">
        <w:t>)</w:t>
      </w:r>
    </w:p>
    <w:p w:rsidR="00884B02" w:rsidRDefault="00884B02" w:rsidP="00884B02">
      <w:pPr>
        <w:pStyle w:val="Geenafstand"/>
        <w:numPr>
          <w:ilvl w:val="0"/>
          <w:numId w:val="1"/>
        </w:numPr>
      </w:pPr>
      <w:r>
        <w:t>2013:</w:t>
      </w:r>
      <w:r>
        <w:tab/>
        <w:t>540,1</w:t>
      </w:r>
      <w:r>
        <w:tab/>
        <w:t>(LG: 537.1</w:t>
      </w:r>
      <w:r w:rsidRPr="00D6140A">
        <w:t>)</w:t>
      </w:r>
    </w:p>
    <w:p w:rsidR="00884B02" w:rsidRPr="00D6140A" w:rsidRDefault="00884B02" w:rsidP="00884B02">
      <w:pPr>
        <w:pStyle w:val="Geenafstand"/>
        <w:numPr>
          <w:ilvl w:val="0"/>
          <w:numId w:val="1"/>
        </w:numPr>
      </w:pPr>
      <w:r>
        <w:t xml:space="preserve">2014: </w:t>
      </w:r>
      <w:r>
        <w:tab/>
        <w:t>537.4</w:t>
      </w:r>
      <w:r>
        <w:tab/>
        <w:t>(LG: 535.0)</w:t>
      </w:r>
    </w:p>
    <w:p w:rsidR="00884B02" w:rsidRDefault="00884B02" w:rsidP="00884B02">
      <w:pPr>
        <w:pStyle w:val="Geenafstand"/>
      </w:pPr>
    </w:p>
    <w:p w:rsidR="00884B02" w:rsidRDefault="00884B02" w:rsidP="00884B02">
      <w:pPr>
        <w:pStyle w:val="Geenafstand"/>
      </w:pPr>
    </w:p>
    <w:p w:rsidR="00884B02" w:rsidRPr="00E9005F" w:rsidRDefault="00884B02" w:rsidP="00884B02">
      <w:pPr>
        <w:pStyle w:val="Geenafstand"/>
      </w:pPr>
    </w:p>
    <w:p w:rsidR="00884B02" w:rsidRDefault="00884B02" w:rsidP="00884B02">
      <w:pPr>
        <w:rPr>
          <w:rFonts w:ascii="Arial" w:hAnsi="Arial" w:cs="Arial"/>
          <w:sz w:val="20"/>
          <w:szCs w:val="20"/>
        </w:rPr>
      </w:pPr>
    </w:p>
    <w:p w:rsidR="00884B02" w:rsidRDefault="00884B02" w:rsidP="00884B02">
      <w:pPr>
        <w:pStyle w:val="Kop2"/>
      </w:pPr>
      <w:bookmarkStart w:id="3" w:name="_Toc365626507"/>
      <w:r w:rsidRPr="00260A3E">
        <w:t>Analyse</w:t>
      </w:r>
      <w:bookmarkEnd w:id="3"/>
    </w:p>
    <w:p w:rsidR="00884B02" w:rsidRPr="006721FA" w:rsidRDefault="00884B02" w:rsidP="00884B02">
      <w:pPr>
        <w:rPr>
          <w:rFonts w:ascii="Arial" w:hAnsi="Arial" w:cs="Arial"/>
          <w:sz w:val="20"/>
          <w:szCs w:val="20"/>
          <w:u w:val="single"/>
        </w:rPr>
      </w:pPr>
      <w:r w:rsidRPr="006721FA">
        <w:rPr>
          <w:rFonts w:ascii="Arial" w:hAnsi="Arial" w:cs="Arial"/>
          <w:sz w:val="20"/>
          <w:szCs w:val="20"/>
          <w:u w:val="single"/>
        </w:rPr>
        <w:t>Cito Eindtoets:</w:t>
      </w:r>
    </w:p>
    <w:p w:rsidR="00884B02" w:rsidRPr="00B66487" w:rsidRDefault="00884B02" w:rsidP="00884B02">
      <w:pPr>
        <w:pStyle w:val="Geenafstand"/>
      </w:pPr>
      <w:r w:rsidRPr="00B66487">
        <w:t xml:space="preserve">De gestandaardiseerde scores van de Cito Eindtoets laten de afgelopen drie jaar een consistent beeld zien en liggen boven het landelijk gemiddelde van Nederland. Voor gestandaardiseerde scores geldt dat 0 het gemiddelde is. De helft van de scholen scoort hieronder, de andere helft erboven. Ongeveer twee van de drie scholen heeft een gestandaardiseerde score tussen de -1 en de +1. </w:t>
      </w:r>
    </w:p>
    <w:p w:rsidR="00884B02" w:rsidRPr="00B66487" w:rsidRDefault="00884B02" w:rsidP="00884B02">
      <w:pPr>
        <w:pStyle w:val="Geenafstand"/>
      </w:pPr>
      <w:r w:rsidRPr="00B66487">
        <w:t>NBS Boeimeer heeft een gestandaardiseerde score van  +1, dat betekent dat de scores  boven het landelijk gemiddelde liggen.</w:t>
      </w:r>
    </w:p>
    <w:p w:rsidR="00884B02" w:rsidRDefault="00884B02" w:rsidP="00884B02">
      <w:pPr>
        <w:pStyle w:val="Geenafstand"/>
      </w:pPr>
    </w:p>
    <w:p w:rsidR="00015C65" w:rsidRPr="00884B02" w:rsidRDefault="00884B02">
      <w:pPr>
        <w:rPr>
          <w:rFonts w:ascii="Arial" w:hAnsi="Arial" w:cs="Arial"/>
          <w:sz w:val="20"/>
          <w:szCs w:val="20"/>
        </w:rPr>
      </w:pPr>
      <w:r w:rsidRPr="00884B02">
        <w:rPr>
          <w:rFonts w:ascii="Arial" w:hAnsi="Arial" w:cs="Arial"/>
          <w:sz w:val="20"/>
          <w:szCs w:val="20"/>
        </w:rPr>
        <w:t>Voor een uitgebreide analyse verwijzen u naar onze webs</w:t>
      </w:r>
      <w:r>
        <w:rPr>
          <w:rFonts w:ascii="Arial" w:hAnsi="Arial" w:cs="Arial"/>
          <w:sz w:val="20"/>
          <w:szCs w:val="20"/>
        </w:rPr>
        <w:t>ite ( Katern Opbrengs</w:t>
      </w:r>
      <w:bookmarkStart w:id="4" w:name="_GoBack"/>
      <w:bookmarkEnd w:id="4"/>
      <w:r>
        <w:rPr>
          <w:rFonts w:ascii="Arial" w:hAnsi="Arial" w:cs="Arial"/>
          <w:sz w:val="20"/>
          <w:szCs w:val="20"/>
        </w:rPr>
        <w:t>ten</w:t>
      </w:r>
      <w:r w:rsidRPr="00884B02">
        <w:rPr>
          <w:rFonts w:ascii="Arial" w:hAnsi="Arial" w:cs="Arial"/>
          <w:sz w:val="20"/>
          <w:szCs w:val="20"/>
        </w:rPr>
        <w:t>).</w:t>
      </w:r>
    </w:p>
    <w:sectPr w:rsidR="00015C65" w:rsidRPr="00884B02" w:rsidSect="00884B0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A16E3"/>
    <w:multiLevelType w:val="hybridMultilevel"/>
    <w:tmpl w:val="515A4E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02"/>
    <w:rsid w:val="00015C65"/>
    <w:rsid w:val="00884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04B8B-5686-46E2-A14C-9761DE26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4B02"/>
    <w:pPr>
      <w:spacing w:after="200" w:line="276" w:lineRule="auto"/>
    </w:pPr>
  </w:style>
  <w:style w:type="paragraph" w:styleId="Kop1">
    <w:name w:val="heading 1"/>
    <w:basedOn w:val="Standaard"/>
    <w:next w:val="Standaard"/>
    <w:link w:val="Kop1Char"/>
    <w:uiPriority w:val="9"/>
    <w:qFormat/>
    <w:rsid w:val="00884B02"/>
    <w:pPr>
      <w:keepNext/>
      <w:keepLines/>
      <w:spacing w:before="480" w:after="0" w:line="240" w:lineRule="auto"/>
      <w:outlineLvl w:val="0"/>
    </w:pPr>
    <w:rPr>
      <w:rFonts w:ascii="Arial" w:eastAsiaTheme="majorEastAsia" w:hAnsi="Arial" w:cs="Times New Roman"/>
      <w:b/>
      <w:bCs/>
      <w:sz w:val="36"/>
      <w:szCs w:val="28"/>
      <w:lang w:eastAsia="nl-NL"/>
    </w:rPr>
  </w:style>
  <w:style w:type="paragraph" w:styleId="Kop2">
    <w:name w:val="heading 2"/>
    <w:basedOn w:val="Standaard"/>
    <w:link w:val="Kop2Char"/>
    <w:uiPriority w:val="9"/>
    <w:qFormat/>
    <w:rsid w:val="00884B02"/>
    <w:pPr>
      <w:spacing w:before="100" w:beforeAutospacing="1" w:after="100" w:afterAutospacing="1" w:line="240" w:lineRule="auto"/>
      <w:outlineLvl w:val="1"/>
    </w:pPr>
    <w:rPr>
      <w:rFonts w:ascii="Arial" w:eastAsiaTheme="minorEastAsia" w:hAnsi="Arial" w:cs="Times New Roman"/>
      <w:b/>
      <w:bCs/>
      <w:sz w:val="24"/>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4B02"/>
    <w:rPr>
      <w:rFonts w:ascii="Arial" w:eastAsiaTheme="majorEastAsia" w:hAnsi="Arial" w:cs="Times New Roman"/>
      <w:b/>
      <w:bCs/>
      <w:sz w:val="36"/>
      <w:szCs w:val="28"/>
      <w:lang w:eastAsia="nl-NL"/>
    </w:rPr>
  </w:style>
  <w:style w:type="character" w:customStyle="1" w:styleId="Kop2Char">
    <w:name w:val="Kop 2 Char"/>
    <w:basedOn w:val="Standaardalinea-lettertype"/>
    <w:link w:val="Kop2"/>
    <w:uiPriority w:val="9"/>
    <w:rsid w:val="00884B02"/>
    <w:rPr>
      <w:rFonts w:ascii="Arial" w:eastAsiaTheme="minorEastAsia" w:hAnsi="Arial" w:cs="Times New Roman"/>
      <w:b/>
      <w:bCs/>
      <w:sz w:val="24"/>
      <w:szCs w:val="36"/>
      <w:lang w:eastAsia="nl-NL"/>
    </w:rPr>
  </w:style>
  <w:style w:type="paragraph" w:styleId="Geenafstand">
    <w:name w:val="No Spacing"/>
    <w:autoRedefine/>
    <w:uiPriority w:val="1"/>
    <w:qFormat/>
    <w:rsid w:val="00884B02"/>
    <w:pPr>
      <w:spacing w:after="0" w:line="240" w:lineRule="auto"/>
      <w:ind w:left="360"/>
    </w:pPr>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Rademakers</dc:creator>
  <cp:keywords/>
  <dc:description/>
  <cp:lastModifiedBy>Babette Rademakers</cp:lastModifiedBy>
  <cp:revision>1</cp:revision>
  <dcterms:created xsi:type="dcterms:W3CDTF">2014-11-06T11:31:00Z</dcterms:created>
  <dcterms:modified xsi:type="dcterms:W3CDTF">2014-11-06T11:34:00Z</dcterms:modified>
</cp:coreProperties>
</file>