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0" w:type="auto"/>
        <w:tblLook w:val="04A0" w:firstRow="1" w:lastRow="0" w:firstColumn="1" w:lastColumn="0" w:noHBand="0" w:noVBand="1"/>
      </w:tblPr>
      <w:tblGrid>
        <w:gridCol w:w="3957"/>
        <w:gridCol w:w="5105"/>
      </w:tblGrid>
      <w:tr w:rsidR="00B7065D" w:rsidRPr="003268C8" w:rsidTr="00A75AD1">
        <w:tc>
          <w:tcPr>
            <w:tcW w:w="4248"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37"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48"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1</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een voorspelbare en gestructureerde leeromgeving te bieden.</w:t>
            </w:r>
          </w:p>
        </w:tc>
        <w:tc>
          <w:tcPr>
            <w:tcW w:w="5237"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hebben kennis van autismespectrumstoornissen/ADD/ADHD. De leerkrachten zijn in staat activiteiten te koppelen aan leerstijlen, zoals bijvoorbeeld: het gebruik van dagritmekaarten, koptelefoons en concentratiehoekjes. De leerkrachten weten hoe ze de kinderen auditief en visueel kunnen ondersteunen in hun leerstijlen.</w:t>
            </w:r>
          </w:p>
        </w:tc>
      </w:tr>
    </w:tbl>
    <w:p w:rsidR="00B7065D" w:rsidRPr="003268C8" w:rsidRDefault="00B7065D" w:rsidP="00B7065D">
      <w:pPr>
        <w:spacing w:after="0"/>
        <w:rPr>
          <w:rFonts w:ascii="Century Gothic" w:hAnsi="Century Gothic"/>
          <w:sz w:val="20"/>
          <w:szCs w:val="20"/>
        </w:rPr>
      </w:pPr>
    </w:p>
    <w:tbl>
      <w:tblPr>
        <w:tblStyle w:val="Tabelraster"/>
        <w:tblW w:w="0" w:type="auto"/>
        <w:tblLook w:val="04A0" w:firstRow="1" w:lastRow="0" w:firstColumn="1" w:lastColumn="0" w:noHBand="0" w:noVBand="1"/>
      </w:tblPr>
      <w:tblGrid>
        <w:gridCol w:w="4046"/>
        <w:gridCol w:w="5016"/>
      </w:tblGrid>
      <w:tr w:rsidR="00B7065D" w:rsidRPr="003268C8" w:rsidTr="00A75AD1">
        <w:tc>
          <w:tcPr>
            <w:tcW w:w="4531"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529"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531"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2</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aangepast en uitdagend onderwijs te bieden voor leerlingen met een eigen leerlijn die naar verwachting 1 F niet halen (1F= Het niveau dat leerlingen aan het einde van groep 8 moeten beheersen om de overstap naar het vo goed te kunnen maken).</w:t>
            </w:r>
          </w:p>
        </w:tc>
        <w:tc>
          <w:tcPr>
            <w:tcW w:w="5529"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Verschillen zijn normaal en geaccepteerd. De leerkrachten stemmen de instructie en het leerstofaanbod af op het niveau van de leerling en de onderwijsbehoeften op basis van observaties en resultaten. </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Leerkrachten hanteren verschillende werkvormen en oefenmogelijkheden, gericht op het bereiken van de leerdoelen.</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Wanneer een leerling een eigen programma gaat volgen, werken de leerkrachten met een OPP (Ontwikkelingsperspectief; zie bijlage) dat wordt opgesteld door de intern begeleider en de groepsleerkracht in samenwerking met de ouders. In het OPP worden doelen gesteld en de onderwijsinhoud gepland.</w:t>
            </w:r>
          </w:p>
        </w:tc>
      </w:tr>
    </w:tbl>
    <w:p w:rsidR="00B7065D" w:rsidRPr="003268C8" w:rsidRDefault="00B7065D" w:rsidP="00B7065D">
      <w:pPr>
        <w:spacing w:after="0"/>
        <w:rPr>
          <w:rFonts w:ascii="Century Gothic" w:hAnsi="Century Gothic"/>
          <w:sz w:val="20"/>
          <w:szCs w:val="20"/>
        </w:rPr>
      </w:pPr>
    </w:p>
    <w:tbl>
      <w:tblPr>
        <w:tblStyle w:val="Tabelraster"/>
        <w:tblW w:w="9493" w:type="dxa"/>
        <w:tblLook w:val="04A0" w:firstRow="1" w:lastRow="0" w:firstColumn="1" w:lastColumn="0" w:noHBand="0" w:noVBand="1"/>
      </w:tblPr>
      <w:tblGrid>
        <w:gridCol w:w="4248"/>
        <w:gridCol w:w="5245"/>
      </w:tblGrid>
      <w:tr w:rsidR="00B7065D" w:rsidRPr="003268C8" w:rsidTr="00A75AD1">
        <w:tc>
          <w:tcPr>
            <w:tcW w:w="4248"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45"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48"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3</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een uitdagende, verrijkende, verdiepende en verbrede leeromgeving te creëren.</w:t>
            </w:r>
          </w:p>
        </w:tc>
        <w:tc>
          <w:tcPr>
            <w:tcW w:w="5245"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bieden de leerlingen gedifferentieerd onderwijs, afgestemd op hun talenten. De leerkrachten beheersen vaardigheden om de leerlingen zich adequaat te kunnen laten ontwikkelen (</w:t>
            </w:r>
            <w:proofErr w:type="spellStart"/>
            <w:r w:rsidRPr="003268C8">
              <w:rPr>
                <w:rFonts w:ascii="Century Gothic" w:hAnsi="Century Gothic"/>
                <w:sz w:val="20"/>
                <w:szCs w:val="20"/>
              </w:rPr>
              <w:t>compacten</w:t>
            </w:r>
            <w:proofErr w:type="spellEnd"/>
            <w:r w:rsidRPr="003268C8">
              <w:rPr>
                <w:rFonts w:ascii="Century Gothic" w:hAnsi="Century Gothic"/>
                <w:sz w:val="20"/>
                <w:szCs w:val="20"/>
              </w:rPr>
              <w:t xml:space="preserve"> en verrijken, onderzoekend en ontwerpend leren en filosoferen). Vanaf 2014-2015 wordt beleid ontwikkeld m.b.t. talentontwikkeling. </w:t>
            </w:r>
          </w:p>
        </w:tc>
      </w:tr>
    </w:tbl>
    <w:p w:rsidR="00B7065D" w:rsidRPr="003268C8" w:rsidRDefault="00B7065D" w:rsidP="00B7065D">
      <w:pPr>
        <w:spacing w:after="0"/>
        <w:rPr>
          <w:rFonts w:ascii="Century Gothic" w:hAnsi="Century Gothic"/>
          <w:sz w:val="20"/>
          <w:szCs w:val="20"/>
        </w:rPr>
      </w:pPr>
    </w:p>
    <w:tbl>
      <w:tblPr>
        <w:tblStyle w:val="Tabelraster"/>
        <w:tblW w:w="0" w:type="auto"/>
        <w:tblLook w:val="04A0" w:firstRow="1" w:lastRow="0" w:firstColumn="1" w:lastColumn="0" w:noHBand="0" w:noVBand="1"/>
      </w:tblPr>
      <w:tblGrid>
        <w:gridCol w:w="4090"/>
        <w:gridCol w:w="4972"/>
      </w:tblGrid>
      <w:tr w:rsidR="00B7065D" w:rsidRPr="003268C8" w:rsidTr="00A75AD1">
        <w:tc>
          <w:tcPr>
            <w:tcW w:w="4248"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37"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48"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4</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een taalrijke leeromgeving te bieden waarbij  het ontwikkelen van taalvaardigheden plaatsvindt  in een communicatief ingestelde omgeving met  veel interactie tussen spreker en ontvanger.</w:t>
            </w:r>
          </w:p>
        </w:tc>
        <w:tc>
          <w:tcPr>
            <w:tcW w:w="5237"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De leerkrachten passen het taalgebruik aan het niveau van de leerlingen. </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verwoorden wat ze doen.</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De leerkrachten visualiseren wat ze vertellen. </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voeren doelgerichte gesprekken.</w:t>
            </w:r>
          </w:p>
          <w:p w:rsidR="00B7065D" w:rsidRPr="003268C8" w:rsidRDefault="00B7065D" w:rsidP="00A75AD1">
            <w:pPr>
              <w:rPr>
                <w:rFonts w:ascii="Century Gothic" w:hAnsi="Century Gothic"/>
                <w:sz w:val="20"/>
                <w:szCs w:val="20"/>
              </w:rPr>
            </w:pPr>
          </w:p>
        </w:tc>
      </w:tr>
    </w:tbl>
    <w:p w:rsidR="00B7065D" w:rsidRPr="003268C8" w:rsidRDefault="00B7065D" w:rsidP="00B7065D">
      <w:pPr>
        <w:spacing w:after="0"/>
        <w:rPr>
          <w:rFonts w:ascii="Century Gothic" w:hAnsi="Century Gothic"/>
          <w:sz w:val="20"/>
          <w:szCs w:val="20"/>
        </w:rPr>
      </w:pPr>
    </w:p>
    <w:tbl>
      <w:tblPr>
        <w:tblStyle w:val="Tabelraster"/>
        <w:tblW w:w="0" w:type="auto"/>
        <w:tblLook w:val="04A0" w:firstRow="1" w:lastRow="0" w:firstColumn="1" w:lastColumn="0" w:noHBand="0" w:noVBand="1"/>
      </w:tblPr>
      <w:tblGrid>
        <w:gridCol w:w="4143"/>
        <w:gridCol w:w="4919"/>
      </w:tblGrid>
      <w:tr w:rsidR="00B7065D" w:rsidRPr="003268C8" w:rsidTr="00A75AD1">
        <w:tc>
          <w:tcPr>
            <w:tcW w:w="4251"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34"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51"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5</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op een oplossingsgerichte wijze, verschillende gedragsinterventietechnieken toe te passen.</w:t>
            </w:r>
          </w:p>
        </w:tc>
        <w:tc>
          <w:tcPr>
            <w:tcW w:w="5234"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Door het volgen van de methode ‘Kinderen en hun Sociale Talenten’ en het hanteren van duidelijke (school)regels leren we de kinderen hoe ze zich dienen te gedragen (zie gedragsprotocol). Door het gedrag met de leerlingen te bespreken en terug te koppelen naar de lessen, leren we de kinderen hoe ze dit toe dienen te passen. Er is een gedragsspecialist aanwezig. Zij bespreekt de uitkomsten van de </w:t>
            </w:r>
            <w:r w:rsidRPr="003268C8">
              <w:rPr>
                <w:rFonts w:ascii="Century Gothic" w:hAnsi="Century Gothic"/>
                <w:sz w:val="20"/>
                <w:szCs w:val="20"/>
              </w:rPr>
              <w:lastRenderedPageBreak/>
              <w:t>SCOL met de leerkrachten en de toe te passen interventies. Wanneer leerlingen een gevaar zijn voor anderen of wanneer in de thuissituatie blijkt dat de geboden structuur op school niet toereikend is, zijn we genoodzaakt deze leerling te verwijzen.</w:t>
            </w:r>
          </w:p>
        </w:tc>
      </w:tr>
    </w:tbl>
    <w:p w:rsidR="00B7065D" w:rsidRPr="003268C8" w:rsidRDefault="00B7065D" w:rsidP="00B7065D">
      <w:pPr>
        <w:spacing w:after="0"/>
        <w:rPr>
          <w:rFonts w:ascii="Century Gothic" w:hAnsi="Century Gothic"/>
          <w:sz w:val="20"/>
          <w:szCs w:val="20"/>
        </w:rPr>
      </w:pPr>
    </w:p>
    <w:tbl>
      <w:tblPr>
        <w:tblStyle w:val="Tabelraster"/>
        <w:tblW w:w="0" w:type="auto"/>
        <w:tblLook w:val="04A0" w:firstRow="1" w:lastRow="0" w:firstColumn="1" w:lastColumn="0" w:noHBand="0" w:noVBand="1"/>
      </w:tblPr>
      <w:tblGrid>
        <w:gridCol w:w="4110"/>
        <w:gridCol w:w="4952"/>
      </w:tblGrid>
      <w:tr w:rsidR="00B7065D" w:rsidRPr="003268C8" w:rsidTr="00A75AD1">
        <w:tc>
          <w:tcPr>
            <w:tcW w:w="4251"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34"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51"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6</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leerlingen met een vertraagde/stagnerende leesontwikkeling tot een adequaat leesontwikkelingsniveau te brengen.</w:t>
            </w:r>
          </w:p>
        </w:tc>
        <w:tc>
          <w:tcPr>
            <w:tcW w:w="5234"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bieden gedifferentieerd leesonderwijs in intensieve instructie, strategie-ondersteuning, aanpak, materialen en tijd die passen bij de leeftijd (VLL in groep 3; Estafette in groep 4 t/m 8).</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Door het werken met het </w:t>
            </w:r>
            <w:proofErr w:type="spellStart"/>
            <w:r w:rsidRPr="003268C8">
              <w:rPr>
                <w:rFonts w:ascii="Century Gothic" w:hAnsi="Century Gothic"/>
                <w:sz w:val="20"/>
                <w:szCs w:val="20"/>
              </w:rPr>
              <w:t>schoolspecifieke</w:t>
            </w:r>
            <w:proofErr w:type="spellEnd"/>
            <w:r w:rsidRPr="003268C8">
              <w:rPr>
                <w:rFonts w:ascii="Century Gothic" w:hAnsi="Century Gothic"/>
                <w:sz w:val="20"/>
                <w:szCs w:val="20"/>
              </w:rPr>
              <w:t xml:space="preserve"> protocol leesproblemen en dyslexie (geïntegreerd in het onderwijs van groep 1 t/m 8) worden leesachterstanden door de leerkrachten snel opgemerkt. De school heeft leesspecialisten die met de Intern Begeleider en leerkrachten de interventies bespreken. Wanneer de geboden interventies niet toereikend zijn, verwijzen we de leerling voor een onderzoek. </w:t>
            </w:r>
          </w:p>
        </w:tc>
      </w:tr>
    </w:tbl>
    <w:p w:rsidR="00B7065D" w:rsidRPr="003268C8" w:rsidRDefault="00B7065D" w:rsidP="00B7065D">
      <w:pPr>
        <w:spacing w:after="0"/>
        <w:rPr>
          <w:rFonts w:ascii="Century Gothic" w:hAnsi="Century Gothic"/>
          <w:sz w:val="20"/>
          <w:szCs w:val="20"/>
        </w:rPr>
      </w:pPr>
    </w:p>
    <w:tbl>
      <w:tblPr>
        <w:tblStyle w:val="Tabelraster"/>
        <w:tblW w:w="0" w:type="auto"/>
        <w:tblLook w:val="04A0" w:firstRow="1" w:lastRow="0" w:firstColumn="1" w:lastColumn="0" w:noHBand="0" w:noVBand="1"/>
      </w:tblPr>
      <w:tblGrid>
        <w:gridCol w:w="4095"/>
        <w:gridCol w:w="4967"/>
      </w:tblGrid>
      <w:tr w:rsidR="00B7065D" w:rsidRPr="003268C8" w:rsidTr="00A75AD1">
        <w:tc>
          <w:tcPr>
            <w:tcW w:w="4280"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205"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280"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7</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het rekenen en wiskunde diagnosticerend te onderwijzen.</w:t>
            </w:r>
          </w:p>
        </w:tc>
        <w:tc>
          <w:tcPr>
            <w:tcW w:w="5205"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De leerkrachten zijn in staat om een leerling, in overeenstemming met de specifieke onderwijsbehoeften binnen een (sub)groep individuele ondersteuning te bieden, met specifieke instructie- en oefenvormen en met (procesgerichte) feedback, t.b.v. het verhogen van de reken/wiskunde vaardigheden en betekenisverlening.</w:t>
            </w:r>
          </w:p>
        </w:tc>
      </w:tr>
    </w:tbl>
    <w:p w:rsidR="00B7065D" w:rsidRPr="003268C8" w:rsidRDefault="00B7065D" w:rsidP="00B7065D">
      <w:pPr>
        <w:spacing w:after="0"/>
        <w:rPr>
          <w:rFonts w:ascii="Century Gothic" w:hAnsi="Century Gothic"/>
          <w:sz w:val="20"/>
          <w:szCs w:val="20"/>
          <w:highlight w:val="yellow"/>
        </w:rPr>
      </w:pPr>
    </w:p>
    <w:tbl>
      <w:tblPr>
        <w:tblStyle w:val="Tabelraster"/>
        <w:tblW w:w="0" w:type="auto"/>
        <w:tblLook w:val="04A0" w:firstRow="1" w:lastRow="0" w:firstColumn="1" w:lastColumn="0" w:noHBand="0" w:noVBand="1"/>
      </w:tblPr>
      <w:tblGrid>
        <w:gridCol w:w="4090"/>
        <w:gridCol w:w="4972"/>
      </w:tblGrid>
      <w:tr w:rsidR="00B7065D" w:rsidRPr="003268C8" w:rsidTr="00A75AD1">
        <w:tc>
          <w:tcPr>
            <w:tcW w:w="4531"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Arrangement</w:t>
            </w:r>
          </w:p>
        </w:tc>
        <w:tc>
          <w:tcPr>
            <w:tcW w:w="5529" w:type="dxa"/>
          </w:tcPr>
          <w:p w:rsidR="00B7065D" w:rsidRPr="003268C8" w:rsidRDefault="00B7065D" w:rsidP="00A75AD1">
            <w:pPr>
              <w:rPr>
                <w:rFonts w:ascii="Century Gothic" w:hAnsi="Century Gothic"/>
                <w:b/>
                <w:sz w:val="20"/>
                <w:szCs w:val="20"/>
              </w:rPr>
            </w:pPr>
            <w:r w:rsidRPr="003268C8">
              <w:rPr>
                <w:rFonts w:ascii="Century Gothic" w:hAnsi="Century Gothic"/>
                <w:b/>
                <w:sz w:val="20"/>
                <w:szCs w:val="20"/>
              </w:rPr>
              <w:t>Invulling</w:t>
            </w:r>
          </w:p>
        </w:tc>
      </w:tr>
      <w:tr w:rsidR="00B7065D" w:rsidRPr="003268C8" w:rsidTr="00A75AD1">
        <w:tc>
          <w:tcPr>
            <w:tcW w:w="4531"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Leerarrangement 8</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De school is in staat om kinderen met een lichamelijke of motorische beperking op te vangen.</w:t>
            </w:r>
          </w:p>
        </w:tc>
        <w:tc>
          <w:tcPr>
            <w:tcW w:w="5529" w:type="dxa"/>
          </w:tcPr>
          <w:p w:rsidR="00B7065D" w:rsidRPr="003268C8" w:rsidRDefault="00B7065D" w:rsidP="00A75AD1">
            <w:pPr>
              <w:rPr>
                <w:rFonts w:ascii="Century Gothic" w:hAnsi="Century Gothic"/>
                <w:sz w:val="20"/>
                <w:szCs w:val="20"/>
              </w:rPr>
            </w:pPr>
            <w:r w:rsidRPr="003268C8">
              <w:rPr>
                <w:rFonts w:ascii="Century Gothic" w:hAnsi="Century Gothic"/>
                <w:sz w:val="20"/>
                <w:szCs w:val="20"/>
              </w:rPr>
              <w:t>Vanwege de ruimtelijke omgeving van het gebouw kunnen we leerlingen met een lichamelijk beperking bijv. rolstoel beperkt opvangen.</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Er zijn enkele aanpassingen binnen de school (invalide toilet) aanwezig.</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Er zijn leerlijnen ontwikkeld voor de motorische ontwikkeling.  </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Wij kunnen MRT (motorische remedial teaching) bieden voor groeps-en individuele ondersteuning,</w:t>
            </w:r>
            <w:r>
              <w:rPr>
                <w:rFonts w:ascii="Century Gothic" w:hAnsi="Century Gothic"/>
                <w:sz w:val="20"/>
                <w:szCs w:val="20"/>
              </w:rPr>
              <w:t xml:space="preserve"> </w:t>
            </w:r>
            <w:r w:rsidRPr="003268C8">
              <w:rPr>
                <w:rFonts w:ascii="Century Gothic" w:hAnsi="Century Gothic"/>
                <w:sz w:val="20"/>
                <w:szCs w:val="20"/>
              </w:rPr>
              <w:t>doordat een van de leerkrachten bevoegd is voor het geven van MRT.</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De MRT-er kan collega’s ondersteunen en coachen. </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Er zijn verschillende instrumenten aanwezig die de motorische ontwikkeling in kaart brengen en kunnen trainen.</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t xml:space="preserve">De leerkrachten kunnen gebruik maken van verschillende materialen om de </w:t>
            </w:r>
            <w:r>
              <w:rPr>
                <w:rFonts w:ascii="Century Gothic" w:hAnsi="Century Gothic"/>
                <w:sz w:val="20"/>
                <w:szCs w:val="20"/>
              </w:rPr>
              <w:t>kleine</w:t>
            </w:r>
            <w:r w:rsidRPr="003268C8">
              <w:rPr>
                <w:rFonts w:ascii="Century Gothic" w:hAnsi="Century Gothic"/>
                <w:sz w:val="20"/>
                <w:szCs w:val="20"/>
              </w:rPr>
              <w:t xml:space="preserve"> en gro</w:t>
            </w:r>
            <w:r>
              <w:rPr>
                <w:rFonts w:ascii="Century Gothic" w:hAnsi="Century Gothic"/>
                <w:sz w:val="20"/>
                <w:szCs w:val="20"/>
              </w:rPr>
              <w:t>t</w:t>
            </w:r>
            <w:r w:rsidRPr="003268C8">
              <w:rPr>
                <w:rFonts w:ascii="Century Gothic" w:hAnsi="Century Gothic"/>
                <w:sz w:val="20"/>
                <w:szCs w:val="20"/>
              </w:rPr>
              <w:t>e motoriek te trainen.</w:t>
            </w:r>
          </w:p>
          <w:p w:rsidR="00B7065D" w:rsidRPr="003268C8" w:rsidRDefault="00B7065D" w:rsidP="00A75AD1">
            <w:pPr>
              <w:rPr>
                <w:rFonts w:ascii="Century Gothic" w:hAnsi="Century Gothic"/>
                <w:sz w:val="20"/>
                <w:szCs w:val="20"/>
              </w:rPr>
            </w:pPr>
            <w:r w:rsidRPr="003268C8">
              <w:rPr>
                <w:rFonts w:ascii="Century Gothic" w:hAnsi="Century Gothic"/>
                <w:sz w:val="20"/>
                <w:szCs w:val="20"/>
              </w:rPr>
              <w:lastRenderedPageBreak/>
              <w:t>We werken met een gymnastiekmethode die een speciale leerlijn bevat voor motorisch zwakkere kinderen.</w:t>
            </w:r>
          </w:p>
        </w:tc>
      </w:tr>
    </w:tbl>
    <w:p w:rsidR="00CC1988" w:rsidRDefault="00CC1988"/>
    <w:sectPr w:rsidR="00CC1988">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065D" w:rsidRDefault="00B7065D" w:rsidP="00B7065D">
      <w:pPr>
        <w:spacing w:after="0" w:line="240" w:lineRule="auto"/>
      </w:pPr>
      <w:r>
        <w:separator/>
      </w:r>
    </w:p>
  </w:endnote>
  <w:endnote w:type="continuationSeparator" w:id="0">
    <w:p w:rsidR="00B7065D" w:rsidRDefault="00B7065D" w:rsidP="00B706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Default="00B7065D">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Default="00B7065D">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Default="00B7065D">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065D" w:rsidRDefault="00B7065D" w:rsidP="00B7065D">
      <w:pPr>
        <w:spacing w:after="0" w:line="240" w:lineRule="auto"/>
      </w:pPr>
      <w:r>
        <w:separator/>
      </w:r>
    </w:p>
  </w:footnote>
  <w:footnote w:type="continuationSeparator" w:id="0">
    <w:p w:rsidR="00B7065D" w:rsidRDefault="00B7065D" w:rsidP="00B706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Default="00B7065D">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Pr="00B7065D" w:rsidRDefault="00502E80">
    <w:pPr>
      <w:pStyle w:val="Koptekst"/>
      <w:rPr>
        <w:rFonts w:ascii="Century Gothic" w:hAnsi="Century Gothic"/>
        <w:sz w:val="20"/>
      </w:rPr>
    </w:pPr>
    <w:r>
      <w:rPr>
        <w:rFonts w:ascii="Century Gothic" w:hAnsi="Century Gothic"/>
        <w:sz w:val="20"/>
      </w:rPr>
      <w:t xml:space="preserve">Schoolondersteuningsprofiel </w:t>
    </w:r>
    <w:r w:rsidR="00B7065D" w:rsidRPr="00B7065D">
      <w:rPr>
        <w:rFonts w:ascii="Century Gothic" w:hAnsi="Century Gothic"/>
        <w:sz w:val="20"/>
      </w:rPr>
      <w:t xml:space="preserve"> </w:t>
    </w:r>
    <w:r w:rsidR="00B7065D">
      <w:rPr>
        <w:rFonts w:ascii="Century Gothic" w:hAnsi="Century Gothic"/>
        <w:sz w:val="20"/>
      </w:rPr>
      <w:t>pcbs Groen van Prinsterer</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065D" w:rsidRDefault="00B7065D">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65D"/>
    <w:rsid w:val="00502E80"/>
    <w:rsid w:val="00B7065D"/>
    <w:rsid w:val="00CC198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B294195-B650-42BC-9EA3-9495B84E8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7065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B706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B7065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7065D"/>
  </w:style>
  <w:style w:type="paragraph" w:styleId="Voettekst">
    <w:name w:val="footer"/>
    <w:basedOn w:val="Standaard"/>
    <w:link w:val="VoettekstChar"/>
    <w:uiPriority w:val="99"/>
    <w:unhideWhenUsed/>
    <w:rsid w:val="00B7065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706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813</Words>
  <Characters>4474</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Wabeke</Company>
  <LinksUpToDate>false</LinksUpToDate>
  <CharactersWithSpaces>5277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Anneke Wabeke, directeur basisschool Groen van Prinsterer</dc:creator>
  <cp:keywords/>
  <dc:description/>
  <cp:lastModifiedBy>Anneke Wabeke, directeur basisschool Groen van Prinsterer</cp:lastModifiedBy>
  <cp:revision>2</cp:revision>
  <dcterms:created xsi:type="dcterms:W3CDTF">2015-10-14T09:32:00Z</dcterms:created>
  <dcterms:modified xsi:type="dcterms:W3CDTF">2015-10-14T09:35:00Z</dcterms:modified>
</cp:coreProperties>
</file>