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37D" w:rsidRPr="00E461C5" w:rsidRDefault="0077137D" w:rsidP="0077137D">
      <w:pPr>
        <w:pStyle w:val="Tekstzonderopmaak"/>
        <w:rPr>
          <w:rFonts w:ascii="Century Gothic" w:hAnsi="Century Gothic" w:cs="Century Gothic"/>
          <w:b/>
          <w:bCs/>
          <w:color w:val="F78E1E"/>
          <w:lang w:val="nl-NL"/>
        </w:rPr>
      </w:pPr>
      <w:r w:rsidRPr="00E461C5">
        <w:rPr>
          <w:rFonts w:ascii="Century Gothic" w:hAnsi="Century Gothic" w:cs="Century Gothic"/>
          <w:b/>
          <w:bCs/>
          <w:color w:val="F78E1E"/>
          <w:lang w:val="nl-NL"/>
        </w:rPr>
        <w:t>BS De Peppel</w:t>
      </w:r>
    </w:p>
    <w:p w:rsidR="0077137D" w:rsidRPr="00E461C5" w:rsidRDefault="0077137D" w:rsidP="0077137D">
      <w:pPr>
        <w:rPr>
          <w:rFonts w:ascii="Century Gothic" w:hAnsi="Century Gothic" w:cs="Century Gothic"/>
          <w:b/>
          <w:bCs/>
          <w:color w:val="F78E1E"/>
          <w:sz w:val="20"/>
          <w:szCs w:val="20"/>
          <w:lang w:val="nl-NL"/>
        </w:rPr>
      </w:pPr>
      <w:r w:rsidRPr="00E461C5">
        <w:rPr>
          <w:rFonts w:ascii="Century Gothic" w:hAnsi="Century Gothic" w:cs="Century Gothic"/>
          <w:b/>
          <w:bCs/>
          <w:color w:val="F78E1E"/>
          <w:sz w:val="20"/>
          <w:szCs w:val="20"/>
          <w:lang w:val="nl-NL"/>
        </w:rPr>
        <w:t>Dussen</w:t>
      </w:r>
    </w:p>
    <w:p w:rsidR="0077137D" w:rsidRPr="00E461C5" w:rsidRDefault="0077137D" w:rsidP="0077137D">
      <w:pPr>
        <w:rPr>
          <w:rFonts w:ascii="Century Gothic" w:hAnsi="Century Gothic" w:cs="Century Gothic"/>
          <w:b/>
          <w:bCs/>
          <w:sz w:val="20"/>
          <w:szCs w:val="20"/>
          <w:lang w:val="nl-NL"/>
        </w:rPr>
      </w:pPr>
    </w:p>
    <w:p w:rsidR="0077137D" w:rsidRPr="00E461C5" w:rsidRDefault="0077137D" w:rsidP="0077137D">
      <w:pPr>
        <w:pStyle w:val="Tekstzonderopmaak"/>
        <w:rPr>
          <w:rFonts w:ascii="Century Gothic" w:hAnsi="Century Gothic" w:cs="Century Gothic"/>
          <w:b/>
          <w:bCs/>
          <w:color w:val="00A4E4"/>
          <w:lang w:val="nl-NL"/>
        </w:rPr>
      </w:pPr>
      <w:r w:rsidRPr="00E461C5">
        <w:rPr>
          <w:rFonts w:ascii="Century Gothic" w:hAnsi="Century Gothic" w:cs="Century Gothic"/>
          <w:b/>
          <w:bCs/>
          <w:color w:val="00A4E4"/>
          <w:lang w:val="nl-NL"/>
        </w:rPr>
        <w:t>Oudertevredenheidspeiling</w:t>
      </w:r>
    </w:p>
    <w:p w:rsidR="0077137D" w:rsidRPr="00E461C5" w:rsidRDefault="0077137D" w:rsidP="0077137D">
      <w:pPr>
        <w:pStyle w:val="Tekstzonderopmaak"/>
        <w:rPr>
          <w:rFonts w:ascii="Century Gothic" w:hAnsi="Century Gothic" w:cs="Century Gothic"/>
          <w:b/>
          <w:bCs/>
          <w:color w:val="00A4E4"/>
          <w:lang w:val="nl-NL"/>
        </w:rPr>
      </w:pPr>
      <w:r w:rsidRPr="00E461C5">
        <w:rPr>
          <w:rFonts w:ascii="Century Gothic" w:hAnsi="Century Gothic" w:cs="Century Gothic"/>
          <w:b/>
          <w:bCs/>
          <w:color w:val="00A4E4"/>
          <w:lang w:val="nl-NL"/>
        </w:rPr>
        <w:t>Basisonderwijs 2019</w:t>
      </w:r>
    </w:p>
    <w:p w:rsidR="0077137D" w:rsidRPr="00E461C5" w:rsidRDefault="0077137D" w:rsidP="0077137D">
      <w:pPr>
        <w:pStyle w:val="Plattetekst"/>
        <w:rPr>
          <w:rFonts w:ascii="Century Gothic" w:hAnsi="Century Gothic" w:cs="Century Gothic"/>
          <w:b/>
          <w:bCs/>
          <w:color w:val="00A4E4"/>
          <w:sz w:val="20"/>
          <w:szCs w:val="20"/>
          <w:lang w:val="nl-NL"/>
        </w:rPr>
      </w:pPr>
    </w:p>
    <w:p w:rsidR="0077137D" w:rsidRPr="00E461C5" w:rsidRDefault="0077137D" w:rsidP="0077137D">
      <w:pPr>
        <w:pStyle w:val="Kop1"/>
        <w:rPr>
          <w:sz w:val="20"/>
          <w:szCs w:val="20"/>
        </w:rPr>
      </w:pPr>
      <w:bookmarkStart w:id="0" w:name="_Toc27474369"/>
      <w:r w:rsidRPr="00E461C5">
        <w:rPr>
          <w:sz w:val="20"/>
          <w:szCs w:val="20"/>
        </w:rPr>
        <w:t>Samenvatting</w:t>
      </w:r>
      <w:bookmarkEnd w:id="0"/>
    </w:p>
    <w:p w:rsidR="0077137D" w:rsidRPr="00E461C5" w:rsidRDefault="0077137D" w:rsidP="0077137D">
      <w:pPr>
        <w:rPr>
          <w:rFonts w:ascii="Century Gothic" w:hAnsi="Century Gothic" w:cs="Century Gothic"/>
          <w:b/>
          <w:bCs/>
          <w:sz w:val="20"/>
          <w:szCs w:val="20"/>
          <w:lang w:val="nl-NL"/>
        </w:rPr>
      </w:pPr>
    </w:p>
    <w:p w:rsidR="0077137D" w:rsidRPr="00E461C5" w:rsidRDefault="0077137D" w:rsidP="0077137D">
      <w:pPr>
        <w:pStyle w:val="Kop3"/>
        <w:rPr>
          <w:color w:val="F78E1E"/>
          <w:sz w:val="20"/>
          <w:szCs w:val="20"/>
        </w:rPr>
      </w:pPr>
      <w:r w:rsidRPr="00E461C5">
        <w:rPr>
          <w:color w:val="F78E1E"/>
          <w:sz w:val="20"/>
          <w:szCs w:val="20"/>
        </w:rPr>
        <w:t>Achtergrondgegevens</w:t>
      </w:r>
    </w:p>
    <w:p w:rsidR="0077137D" w:rsidRPr="00E461C5" w:rsidRDefault="0077137D" w:rsidP="0077137D">
      <w:pPr>
        <w:pStyle w:val="Tekstzonderopmaak"/>
        <w:rPr>
          <w:rFonts w:ascii="Century Gothic" w:hAnsi="Century Gothic" w:cs="Century Gothic"/>
          <w:lang w:val="nl-NL"/>
        </w:rPr>
      </w:pPr>
      <w:r w:rsidRPr="00E461C5">
        <w:rPr>
          <w:rFonts w:ascii="Century Gothic" w:hAnsi="Century Gothic" w:cs="Century Gothic"/>
          <w:lang w:val="nl-NL"/>
        </w:rPr>
        <w:t xml:space="preserve">Eerder dit jaar heeft BS De Peppel deelgenomen aan de oudertevredenheidspeiling </w:t>
      </w:r>
    </w:p>
    <w:p w:rsidR="0077137D" w:rsidRPr="00E461C5" w:rsidRDefault="0077137D" w:rsidP="0077137D">
      <w:pPr>
        <w:pStyle w:val="Tekstzonderopmaak"/>
        <w:rPr>
          <w:rFonts w:ascii="Century Gothic" w:hAnsi="Century Gothic" w:cs="Century Gothic"/>
          <w:lang w:val="nl-NL"/>
        </w:rPr>
      </w:pPr>
      <w:r w:rsidRPr="00E461C5">
        <w:rPr>
          <w:rFonts w:ascii="Century Gothic" w:hAnsi="Century Gothic" w:cs="Century Gothic"/>
          <w:lang w:val="nl-NL"/>
        </w:rPr>
        <w:t xml:space="preserve">Aan de Oudertevredenheidspeiling hebben 56 van de 98 ouders deelgenomen. Dat is een responspercentage van 57%. Deze 56 ouders/respondenten hebben de peiling voor 82 leerlingen ingevuld. De ouders/respondenten konden de vragenlijst voor meerdere kinderen invullen.  Er werden gegevens verzameld van 44 ouders met een kind in de bovenbouw en van 38 ouders met een kind in de onderbouw. </w:t>
      </w:r>
    </w:p>
    <w:p w:rsidR="0077137D" w:rsidRPr="00E461C5" w:rsidRDefault="0077137D" w:rsidP="0077137D">
      <w:pPr>
        <w:pStyle w:val="Tekstzonderopmaak1"/>
        <w:rPr>
          <w:i/>
          <w:lang w:val="nl-NL"/>
        </w:rPr>
      </w:pPr>
      <w:bookmarkStart w:id="1" w:name="_GoBack"/>
      <w:bookmarkEnd w:id="1"/>
    </w:p>
    <w:p w:rsidR="0077137D" w:rsidRPr="00E461C5" w:rsidRDefault="0077137D" w:rsidP="0077137D">
      <w:pPr>
        <w:pStyle w:val="Kop3"/>
        <w:rPr>
          <w:color w:val="F78E1E"/>
          <w:sz w:val="20"/>
          <w:szCs w:val="20"/>
        </w:rPr>
      </w:pPr>
      <w:r w:rsidRPr="00E461C5">
        <w:rPr>
          <w:color w:val="F78E1E"/>
          <w:sz w:val="20"/>
          <w:szCs w:val="20"/>
        </w:rPr>
        <w:t>Algemene tevredenheid</w:t>
      </w:r>
    </w:p>
    <w:p w:rsidR="0077137D" w:rsidRPr="00E461C5" w:rsidRDefault="0077137D" w:rsidP="0077137D">
      <w:pPr>
        <w:pStyle w:val="Tekstzonderopmaak"/>
        <w:rPr>
          <w:rFonts w:ascii="Century Gothic" w:hAnsi="Century Gothic" w:cs="Century Gothic"/>
          <w:lang w:val="nl-NL"/>
        </w:rPr>
      </w:pPr>
      <w:r w:rsidRPr="00E461C5">
        <w:rPr>
          <w:rFonts w:ascii="Century Gothic" w:hAnsi="Century Gothic" w:cs="Century Gothic"/>
          <w:lang w:val="nl-NL"/>
        </w:rPr>
        <w:t>De enquête geeft een duidelijk beeld van de wijze waarop de ouders BS De Peppel waarderen. BS De Peppel scoort gemiddeld 7,50.</w:t>
      </w:r>
    </w:p>
    <w:p w:rsidR="0077137D" w:rsidRPr="00E461C5" w:rsidRDefault="0077137D" w:rsidP="0077137D">
      <w:pPr>
        <w:pStyle w:val="Tekstzonderopmaak"/>
        <w:rPr>
          <w:rFonts w:ascii="Century Gothic" w:hAnsi="Century Gothic" w:cs="Century Gothic"/>
          <w:lang w:val="nl-NL"/>
        </w:rPr>
      </w:pPr>
    </w:p>
    <w:p w:rsidR="0077137D" w:rsidRPr="00E461C5" w:rsidRDefault="0077137D" w:rsidP="0077137D">
      <w:pPr>
        <w:pStyle w:val="Tekstzonderopmaak"/>
        <w:rPr>
          <w:rFonts w:ascii="Century Gothic" w:hAnsi="Century Gothic" w:cs="Century Gothic"/>
          <w:lang w:val="nl-NL"/>
        </w:rPr>
      </w:pP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77% van de ouders is tevreden over de sfeer in de klas.</w:t>
      </w: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96% van de ouders is tevreden over de sfeer en inrichting van het schoolgebouw.</w:t>
      </w: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70% van de ouders is tevreden over de rust en orde in de klas.</w:t>
      </w: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71% van de ouders is tevreden over de rust en orde op school.</w:t>
      </w:r>
    </w:p>
    <w:p w:rsidR="0077137D" w:rsidRPr="00E461C5" w:rsidRDefault="0077137D" w:rsidP="0077137D">
      <w:pPr>
        <w:pStyle w:val="ListParagraphPHPDOCX"/>
        <w:ind w:left="720"/>
        <w:rPr>
          <w:szCs w:val="20"/>
          <w:lang w:val="nl-NL"/>
        </w:rPr>
      </w:pP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73% van de ouders is tevreden over de informatievoorziening over het kind.</w:t>
      </w: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75% van de ouders is tevreden over de informatievoorziening over de school.</w:t>
      </w:r>
    </w:p>
    <w:p w:rsidR="0077137D" w:rsidRPr="00E461C5" w:rsidRDefault="0077137D" w:rsidP="0077137D">
      <w:pPr>
        <w:pStyle w:val="ListParagraphPHPDOCX"/>
        <w:ind w:left="720"/>
        <w:rPr>
          <w:szCs w:val="20"/>
          <w:lang w:val="nl-NL"/>
        </w:rPr>
      </w:pP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96% van de ouders is tevreden over de mate waarin de leerkracht naar ouders luistert.</w:t>
      </w: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98% van de ouders is tevreden over de inzet en het enthousiasme van de leerkracht.</w:t>
      </w: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98% van de ouders is tevreden over de omgang van de leerkracht met de leerlingen.</w:t>
      </w:r>
    </w:p>
    <w:p w:rsidR="0077137D" w:rsidRPr="00E461C5" w:rsidRDefault="0077137D" w:rsidP="0077137D">
      <w:pPr>
        <w:pStyle w:val="ListParagraphPHPDOCX"/>
        <w:rPr>
          <w:rFonts w:cs="Century Gothic"/>
          <w:szCs w:val="20"/>
          <w:lang w:val="nl-NL"/>
        </w:rPr>
      </w:pP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95% van de ouders is tevreden over de huidige schooltijden.</w:t>
      </w: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79% van de ouders is tevreden over de duidelijkheid van de schoolregels.</w:t>
      </w:r>
    </w:p>
    <w:p w:rsidR="0077137D" w:rsidRPr="00E461C5" w:rsidRDefault="0077137D" w:rsidP="0077137D">
      <w:pPr>
        <w:pStyle w:val="ListParagraphPHPDOCX"/>
        <w:numPr>
          <w:ilvl w:val="0"/>
          <w:numId w:val="1"/>
        </w:numPr>
        <w:rPr>
          <w:szCs w:val="20"/>
          <w:lang w:val="nl-NL"/>
        </w:rPr>
      </w:pPr>
      <w:r w:rsidRPr="00E461C5">
        <w:rPr>
          <w:rFonts w:cs="Century Gothic"/>
          <w:szCs w:val="20"/>
          <w:lang w:val="nl-NL"/>
        </w:rPr>
        <w:t>93% van de ouders ziet hun kind met plezier naar school gaan</w:t>
      </w:r>
      <w:r w:rsidR="00E461C5" w:rsidRPr="00E461C5">
        <w:rPr>
          <w:rFonts w:cs="Century Gothic"/>
          <w:szCs w:val="20"/>
          <w:lang w:val="nl-NL"/>
        </w:rPr>
        <w:t>.</w:t>
      </w:r>
    </w:p>
    <w:p w:rsidR="0077137D" w:rsidRPr="00E461C5" w:rsidRDefault="0077137D" w:rsidP="0077137D">
      <w:pPr>
        <w:pStyle w:val="Kop1"/>
        <w:rPr>
          <w:sz w:val="20"/>
          <w:szCs w:val="20"/>
        </w:rPr>
      </w:pPr>
      <w:bookmarkStart w:id="2" w:name="_Toc27474370"/>
    </w:p>
    <w:p w:rsidR="0077137D" w:rsidRPr="00E461C5" w:rsidRDefault="0077137D" w:rsidP="0077137D">
      <w:pPr>
        <w:pStyle w:val="Kop1"/>
        <w:rPr>
          <w:sz w:val="20"/>
          <w:szCs w:val="20"/>
        </w:rPr>
      </w:pPr>
      <w:r w:rsidRPr="00E461C5">
        <w:rPr>
          <w:sz w:val="20"/>
          <w:szCs w:val="20"/>
        </w:rPr>
        <w:t>Conclusie</w:t>
      </w:r>
      <w:bookmarkEnd w:id="2"/>
    </w:p>
    <w:p w:rsidR="0077137D" w:rsidRPr="00E461C5" w:rsidRDefault="0077137D" w:rsidP="0077137D">
      <w:pPr>
        <w:rPr>
          <w:rFonts w:ascii="Century Gothic" w:hAnsi="Century Gothic" w:cs="Century Gothic"/>
          <w:sz w:val="20"/>
          <w:szCs w:val="20"/>
          <w:lang w:val="nl-NL"/>
        </w:rPr>
      </w:pPr>
    </w:p>
    <w:p w:rsidR="0077137D" w:rsidRPr="00E461C5" w:rsidRDefault="0077137D" w:rsidP="0077137D">
      <w:pPr>
        <w:pStyle w:val="Kop2"/>
        <w:rPr>
          <w:color w:val="F78E1E"/>
          <w:sz w:val="20"/>
          <w:szCs w:val="20"/>
        </w:rPr>
      </w:pPr>
      <w:r w:rsidRPr="00E461C5">
        <w:rPr>
          <w:color w:val="F78E1E"/>
          <w:sz w:val="20"/>
          <w:szCs w:val="20"/>
        </w:rPr>
        <w:t>Top 10 tevredenheid en ontevredenheid</w:t>
      </w:r>
    </w:p>
    <w:p w:rsidR="0077137D" w:rsidRPr="00E461C5" w:rsidRDefault="0077137D" w:rsidP="0077137D">
      <w:pPr>
        <w:autoSpaceDE w:val="0"/>
        <w:autoSpaceDN w:val="0"/>
        <w:adjustRightInd w:val="0"/>
        <w:rPr>
          <w:rFonts w:ascii="Century Gothic" w:hAnsi="Century Gothic" w:cs="Century Gothic"/>
          <w:sz w:val="20"/>
          <w:szCs w:val="20"/>
          <w:lang w:val="nl-NL"/>
        </w:rPr>
      </w:pPr>
      <w:r w:rsidRPr="00E461C5">
        <w:rPr>
          <w:rFonts w:ascii="Century Gothic" w:hAnsi="Century Gothic" w:cs="Century Gothic"/>
          <w:sz w:val="20"/>
          <w:szCs w:val="20"/>
          <w:lang w:val="nl-NL"/>
        </w:rPr>
        <w:t>In onderstaande figuren wordt een overzicht gegeven van de plus- en verbeterpunten van BS De Peppel. Ter vergelijking worden ook de resultaten van de referentiegroep vermeld.</w:t>
      </w:r>
    </w:p>
    <w:p w:rsidR="0077137D" w:rsidRPr="00E461C5" w:rsidRDefault="0077137D" w:rsidP="0077137D">
      <w:pPr>
        <w:autoSpaceDE w:val="0"/>
        <w:autoSpaceDN w:val="0"/>
        <w:adjustRightInd w:val="0"/>
        <w:rPr>
          <w:rFonts w:ascii="Century Gothic" w:hAnsi="Century Gothic" w:cs="Century Gothic"/>
          <w:sz w:val="20"/>
          <w:szCs w:val="20"/>
          <w:lang w:val="nl-NL"/>
        </w:rPr>
      </w:pPr>
      <w:r w:rsidRPr="00E461C5">
        <w:rPr>
          <w:rFonts w:ascii="Century Gothic" w:hAnsi="Century Gothic" w:cs="Century Gothic"/>
          <w:sz w:val="20"/>
          <w:szCs w:val="20"/>
          <w:lang w:val="nl-NL"/>
        </w:rPr>
        <w:t>De referentiegroep bevat gegevens van scholen die de laatste twee schooljaren aan ditzelfde onderzoek hebben deelgenomen.</w:t>
      </w:r>
    </w:p>
    <w:p w:rsidR="0077137D" w:rsidRPr="00E461C5" w:rsidRDefault="0077137D" w:rsidP="0077137D">
      <w:pPr>
        <w:pStyle w:val="Tekstzonderopmaak"/>
        <w:widowControl/>
        <w:rPr>
          <w:rFonts w:ascii="Century Gothic" w:hAnsi="Century Gothic" w:cs="Century Gothic"/>
          <w:lang w:val="nl-NL"/>
        </w:rPr>
      </w:pPr>
      <w:r w:rsidRPr="00E461C5">
        <w:rPr>
          <w:rFonts w:ascii="Century Gothic" w:hAnsi="Century Gothic" w:cs="Century Gothic"/>
          <w:lang w:val="nl-NL"/>
        </w:rPr>
        <w:t>In de tabellen wordt alleen de ‘top10’ weergegeven.</w:t>
      </w:r>
    </w:p>
    <w:p w:rsidR="0077137D" w:rsidRPr="00E461C5" w:rsidRDefault="0077137D" w:rsidP="0077137D">
      <w:pPr>
        <w:autoSpaceDE w:val="0"/>
        <w:autoSpaceDN w:val="0"/>
        <w:adjustRightInd w:val="0"/>
        <w:rPr>
          <w:rFonts w:ascii="Century Gothic" w:hAnsi="Century Gothic" w:cs="Century Gothic"/>
          <w:sz w:val="20"/>
          <w:szCs w:val="20"/>
          <w:lang w:val="nl-NL"/>
        </w:rPr>
      </w:pPr>
    </w:p>
    <w:p w:rsidR="0071015E" w:rsidRPr="00E461C5" w:rsidRDefault="0071015E" w:rsidP="0071015E">
      <w:pPr>
        <w:autoSpaceDE w:val="0"/>
        <w:autoSpaceDN w:val="0"/>
        <w:adjustRightInd w:val="0"/>
        <w:ind w:left="567"/>
        <w:rPr>
          <w:rFonts w:ascii="Century Gothic" w:hAnsi="Century Gothic" w:cs="Century Gothic"/>
          <w:sz w:val="20"/>
          <w:szCs w:val="20"/>
          <w:lang w:val="nl-NL"/>
        </w:rPr>
      </w:pPr>
    </w:p>
    <w:p w:rsidR="0071015E" w:rsidRPr="00E461C5" w:rsidRDefault="0071015E" w:rsidP="0071015E">
      <w:pPr>
        <w:pStyle w:val="Kop3"/>
        <w:numPr>
          <w:ilvl w:val="0"/>
          <w:numId w:val="2"/>
        </w:numPr>
        <w:rPr>
          <w:color w:val="F78E1E"/>
          <w:sz w:val="20"/>
          <w:szCs w:val="20"/>
        </w:rPr>
      </w:pPr>
      <w:r w:rsidRPr="00E461C5">
        <w:rPr>
          <w:color w:val="F78E1E"/>
          <w:sz w:val="20"/>
          <w:szCs w:val="20"/>
        </w:rPr>
        <w:t>Rubriekscores</w:t>
      </w:r>
    </w:p>
    <w:p w:rsidR="0071015E" w:rsidRPr="00E461C5" w:rsidRDefault="0071015E" w:rsidP="0071015E">
      <w:pPr>
        <w:pStyle w:val="Tekstzonderopmaak"/>
        <w:ind w:left="567"/>
        <w:rPr>
          <w:rFonts w:ascii="Century Gothic" w:hAnsi="Century Gothic" w:cs="Century Gothic"/>
          <w:lang w:val="nl-NL"/>
        </w:rPr>
      </w:pPr>
      <w:r w:rsidRPr="00E461C5">
        <w:rPr>
          <w:rFonts w:ascii="Century Gothic" w:hAnsi="Century Gothic" w:cs="Century Gothic"/>
          <w:lang w:val="nl-NL"/>
        </w:rPr>
        <w:t xml:space="preserve">De vragenlijst is ingedeeld in een aantal vragenclusters of rubrieken. In de rapportage worden deze rubrieken over de school en het onderwijs met elkaar vergeleken. Het gaat dan om de rubriekscores. Deze rubriekscores hebben dus niet betrekking op een enkele vraag, maar op een cluster van vragen. </w:t>
      </w:r>
    </w:p>
    <w:p w:rsidR="0071015E" w:rsidRPr="00E461C5" w:rsidRDefault="0071015E" w:rsidP="0071015E">
      <w:pPr>
        <w:pStyle w:val="Tekstzonderopmaak"/>
        <w:ind w:left="567"/>
        <w:rPr>
          <w:rFonts w:ascii="Century Gothic" w:hAnsi="Century Gothic" w:cs="Century Gothic"/>
          <w:lang w:val="nl-NL"/>
        </w:rPr>
      </w:pPr>
    </w:p>
    <w:p w:rsidR="0071015E" w:rsidRPr="00E461C5" w:rsidRDefault="0071015E" w:rsidP="0071015E">
      <w:pPr>
        <w:numPr>
          <w:ilvl w:val="0"/>
          <w:numId w:val="2"/>
        </w:numPr>
        <w:autoSpaceDE w:val="0"/>
        <w:autoSpaceDN w:val="0"/>
        <w:adjustRightInd w:val="0"/>
        <w:rPr>
          <w:rFonts w:ascii="Century Gothic" w:hAnsi="Century Gothic" w:cs="Century Gothic"/>
          <w:sz w:val="20"/>
          <w:szCs w:val="20"/>
          <w:lang w:val="nl-NL"/>
        </w:rPr>
      </w:pPr>
      <w:r w:rsidRPr="00E461C5">
        <w:rPr>
          <w:rFonts w:ascii="Century Gothic" w:hAnsi="Century Gothic" w:cs="Century Gothic"/>
          <w:sz w:val="20"/>
          <w:szCs w:val="20"/>
          <w:lang w:val="nl-NL"/>
        </w:rPr>
        <w:t>In de</w:t>
      </w:r>
      <w:r w:rsidRPr="00E461C5">
        <w:rPr>
          <w:rFonts w:ascii="Century Gothic" w:hAnsi="Century Gothic" w:cs="Century Gothic"/>
          <w:bCs/>
          <w:sz w:val="20"/>
          <w:szCs w:val="20"/>
          <w:lang w:val="nl-NL"/>
        </w:rPr>
        <w:t xml:space="preserve"> tabel</w:t>
      </w:r>
      <w:r w:rsidRPr="00E461C5">
        <w:rPr>
          <w:rFonts w:ascii="Century Gothic" w:hAnsi="Century Gothic" w:cs="Century Gothic"/>
          <w:b/>
          <w:bCs/>
          <w:sz w:val="20"/>
          <w:szCs w:val="20"/>
          <w:lang w:val="nl-NL"/>
        </w:rPr>
        <w:t xml:space="preserve"> ‘Top 10 Tevredenheid’ </w:t>
      </w:r>
      <w:r w:rsidRPr="00E461C5">
        <w:rPr>
          <w:rFonts w:ascii="Century Gothic" w:hAnsi="Century Gothic" w:cs="Century Gothic"/>
          <w:sz w:val="20"/>
          <w:szCs w:val="20"/>
          <w:lang w:val="nl-NL"/>
        </w:rPr>
        <w:t xml:space="preserve">wordt een overzicht gegeven van de onderwerpen die door veel ouders/verzorgers positief gewaardeerd worden, met de percentages tevreden respondenten. </w:t>
      </w:r>
    </w:p>
    <w:p w:rsidR="0071015E" w:rsidRPr="00E461C5" w:rsidRDefault="0071015E" w:rsidP="0071015E">
      <w:pPr>
        <w:autoSpaceDE w:val="0"/>
        <w:autoSpaceDN w:val="0"/>
        <w:adjustRightInd w:val="0"/>
        <w:rPr>
          <w:rFonts w:ascii="Century Gothic" w:hAnsi="Century Gothic" w:cs="Century Gothic"/>
          <w:sz w:val="20"/>
          <w:szCs w:val="20"/>
          <w:lang w:val="nl-NL"/>
        </w:rPr>
      </w:pPr>
    </w:p>
    <w:p w:rsidR="0071015E" w:rsidRPr="00E461C5" w:rsidRDefault="0071015E" w:rsidP="0071015E">
      <w:pPr>
        <w:numPr>
          <w:ilvl w:val="0"/>
          <w:numId w:val="2"/>
        </w:numPr>
        <w:autoSpaceDE w:val="0"/>
        <w:autoSpaceDN w:val="0"/>
        <w:adjustRightInd w:val="0"/>
        <w:rPr>
          <w:rFonts w:ascii="Century Gothic" w:hAnsi="Century Gothic" w:cs="Century Gothic"/>
          <w:sz w:val="20"/>
          <w:szCs w:val="20"/>
          <w:lang w:val="nl-NL"/>
        </w:rPr>
      </w:pPr>
      <w:r w:rsidRPr="00E461C5">
        <w:rPr>
          <w:rFonts w:ascii="Century Gothic" w:hAnsi="Century Gothic" w:cs="Century Gothic"/>
          <w:sz w:val="20"/>
          <w:szCs w:val="20"/>
          <w:lang w:val="nl-NL"/>
        </w:rPr>
        <w:lastRenderedPageBreak/>
        <w:t>In de tabel</w:t>
      </w:r>
      <w:r w:rsidRPr="00E461C5">
        <w:rPr>
          <w:rFonts w:ascii="Century Gothic" w:hAnsi="Century Gothic" w:cs="Century Gothic"/>
          <w:b/>
          <w:bCs/>
          <w:sz w:val="20"/>
          <w:szCs w:val="20"/>
          <w:lang w:val="nl-NL"/>
        </w:rPr>
        <w:t xml:space="preserve"> ‘Top 10 Ontevredenheid’</w:t>
      </w:r>
      <w:r w:rsidRPr="00E461C5">
        <w:rPr>
          <w:rFonts w:ascii="Century Gothic" w:hAnsi="Century Gothic" w:cs="Century Gothic"/>
          <w:sz w:val="20"/>
          <w:szCs w:val="20"/>
          <w:lang w:val="nl-NL"/>
        </w:rPr>
        <w:t xml:space="preserve"> staan de onderwerpen waarover relatief veel ouders ontevreden waren, met de bijbehorende percentages. </w:t>
      </w:r>
    </w:p>
    <w:p w:rsidR="0071015E" w:rsidRPr="00E461C5" w:rsidRDefault="0071015E" w:rsidP="0071015E">
      <w:pPr>
        <w:pStyle w:val="Lijstalinea"/>
        <w:rPr>
          <w:rFonts w:ascii="Century Gothic" w:hAnsi="Century Gothic" w:cs="Century Gothic"/>
          <w:sz w:val="18"/>
          <w:szCs w:val="18"/>
          <w:lang w:val="nl-NL"/>
        </w:rPr>
      </w:pPr>
    </w:p>
    <w:p w:rsidR="0071015E" w:rsidRDefault="0071015E" w:rsidP="0071015E">
      <w:pPr>
        <w:rPr>
          <w:rFonts w:ascii="Century Gothic" w:hAnsi="Century Gothic" w:cs="Century Gothic"/>
          <w:sz w:val="20"/>
          <w:szCs w:val="20"/>
          <w:lang w:val="nl-NL"/>
        </w:rPr>
      </w:pPr>
    </w:p>
    <w:p w:rsidR="0071015E" w:rsidRPr="00010245" w:rsidRDefault="0071015E" w:rsidP="0071015E">
      <w:pPr>
        <w:pStyle w:val="Kop3"/>
        <w:rPr>
          <w:noProof/>
          <w:sz w:val="20"/>
          <w:szCs w:val="20"/>
          <w:lang w:val="en-US"/>
        </w:rPr>
      </w:pPr>
      <w:r w:rsidRPr="00793BD0">
        <w:rPr>
          <w:noProof/>
          <w:sz w:val="20"/>
          <w:szCs w:val="20"/>
        </w:rPr>
        <w:t xml:space="preserve"> </w:t>
      </w:r>
      <w:r w:rsidRPr="00010245">
        <w:rPr>
          <w:noProof/>
          <w:sz w:val="20"/>
          <w:szCs w:val="20"/>
          <w:lang w:val="en-US"/>
        </w:rPr>
        <w:t>‘Top 10’ Tevredenheid</w:t>
      </w:r>
    </w:p>
    <w:p w:rsidR="0071015E" w:rsidRPr="00010245" w:rsidRDefault="0071015E" w:rsidP="0071015E"/>
    <w:tbl>
      <w:tblPr>
        <w:tblStyle w:val="NormalTablePHPDOCX"/>
        <w:tblpPr w:leftFromText="180" w:rightFromText="180" w:vertAnchor="text" w:tblpX="1" w:tblpY="1"/>
        <w:tblOverlap w:val="never"/>
        <w:tblW w:w="0" w:type="auto"/>
        <w:tblLook w:val="01E0" w:firstRow="1" w:lastRow="1" w:firstColumn="1" w:lastColumn="1" w:noHBand="0" w:noVBand="0"/>
      </w:tblPr>
      <w:tblGrid>
        <w:gridCol w:w="3687"/>
        <w:gridCol w:w="1906"/>
        <w:gridCol w:w="1561"/>
        <w:gridCol w:w="222"/>
      </w:tblGrid>
      <w:tr w:rsidR="00C12071" w:rsidTr="00DE2BC1">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C12071" w:rsidRDefault="00C12071" w:rsidP="00DE2BC1"/>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C12071" w:rsidRDefault="00C12071" w:rsidP="00DE2BC1"/>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C12071" w:rsidRDefault="00C12071" w:rsidP="00DE2BC1"/>
        </w:tc>
        <w:tc>
          <w:tcPr>
            <w:tcW w:w="0" w:type="auto"/>
            <w:tcBorders>
              <w:top w:val="none" w:sz="4" w:space="0" w:color="auto"/>
              <w:left w:val="none" w:sz="4" w:space="0" w:color="auto"/>
              <w:bottom w:val="none" w:sz="4" w:space="0" w:color="auto"/>
              <w:right w:val="none" w:sz="4" w:space="0" w:color="auto"/>
            </w:tcBorders>
          </w:tcPr>
          <w:p w:rsidR="00C12071" w:rsidRDefault="00C12071" w:rsidP="00DE2BC1"/>
        </w:tc>
      </w:tr>
      <w:tr w:rsidR="00C12071" w:rsidTr="00DE2BC1">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C12071" w:rsidRDefault="00C12071" w:rsidP="00DE2BC1">
            <w:proofErr w:type="spellStart"/>
            <w:r>
              <w:rPr>
                <w:rFonts w:ascii="Century Gothic" w:hAnsi="Century Gothic" w:cs="Century Gothic"/>
                <w:b/>
                <w:color w:val="FFFFFF"/>
                <w:sz w:val="19"/>
              </w:rPr>
              <w:t>Pluspunten</w:t>
            </w:r>
            <w:proofErr w:type="spellEnd"/>
          </w:p>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rsidR="00C12071" w:rsidRDefault="00C12071" w:rsidP="00DE2BC1">
            <w:proofErr w:type="spellStart"/>
            <w:r>
              <w:rPr>
                <w:rFonts w:ascii="Century Gothic" w:hAnsi="Century Gothic" w:cs="Century Gothic"/>
                <w:b/>
                <w:color w:val="00A4E4"/>
                <w:sz w:val="19"/>
              </w:rPr>
              <w:t>Rubrieksnummer</w:t>
            </w:r>
            <w:proofErr w:type="spellEnd"/>
          </w:p>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rsidR="00C12071" w:rsidRDefault="00C12071" w:rsidP="00DE2BC1">
            <w:r>
              <w:rPr>
                <w:rFonts w:ascii="Century Gothic" w:hAnsi="Century Gothic" w:cs="Century Gothic"/>
                <w:b/>
                <w:color w:val="00A4E4"/>
                <w:sz w:val="19"/>
              </w:rPr>
              <w:t>BS De Peppel</w:t>
            </w:r>
          </w:p>
        </w:tc>
        <w:tc>
          <w:tcPr>
            <w:tcW w:w="0" w:type="auto"/>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Pr="003A670D" w:rsidRDefault="00C12071" w:rsidP="00DE2BC1">
            <w:pPr>
              <w:rPr>
                <w:lang w:val="nl-NL"/>
              </w:rPr>
            </w:pPr>
            <w:r w:rsidRPr="003A670D">
              <w:rPr>
                <w:rFonts w:ascii="Century Gothic" w:hAnsi="Century Gothic" w:cs="Century Gothic"/>
                <w:color w:val="00A4E4"/>
                <w:sz w:val="19"/>
                <w:lang w:val="nl-NL"/>
              </w:rPr>
              <w:t>1. Omgang leerkracht met de leerlingen</w:t>
            </w:r>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3</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98%</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2. </w:t>
            </w:r>
            <w:proofErr w:type="spellStart"/>
            <w:r>
              <w:rPr>
                <w:rFonts w:ascii="Century Gothic" w:hAnsi="Century Gothic" w:cs="Century Gothic"/>
                <w:color w:val="00A4E4"/>
                <w:sz w:val="19"/>
              </w:rPr>
              <w:t>Inzet</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en</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enthousiasme</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leerkracht</w:t>
            </w:r>
            <w:proofErr w:type="spellEnd"/>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98%</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3. Website</w:t>
            </w:r>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15</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96%</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4. </w:t>
            </w:r>
            <w:proofErr w:type="spellStart"/>
            <w:r>
              <w:rPr>
                <w:rFonts w:ascii="Century Gothic" w:hAnsi="Century Gothic" w:cs="Century Gothic"/>
                <w:color w:val="00A4E4"/>
                <w:sz w:val="19"/>
              </w:rPr>
              <w:t>Sfeer</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en</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inrichting</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schoolgebouw</w:t>
            </w:r>
            <w:proofErr w:type="spellEnd"/>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1</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96%</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5. </w:t>
            </w:r>
            <w:proofErr w:type="spellStart"/>
            <w:r>
              <w:rPr>
                <w:rFonts w:ascii="Century Gothic" w:hAnsi="Century Gothic" w:cs="Century Gothic"/>
                <w:color w:val="00A4E4"/>
                <w:sz w:val="19"/>
              </w:rPr>
              <w:t>Uiterlijk</w:t>
            </w:r>
            <w:proofErr w:type="spellEnd"/>
            <w:r>
              <w:rPr>
                <w:rFonts w:ascii="Century Gothic" w:hAnsi="Century Gothic" w:cs="Century Gothic"/>
                <w:color w:val="00A4E4"/>
                <w:sz w:val="19"/>
              </w:rPr>
              <w:t xml:space="preserve"> van het </w:t>
            </w:r>
            <w:proofErr w:type="spellStart"/>
            <w:r>
              <w:rPr>
                <w:rFonts w:ascii="Century Gothic" w:hAnsi="Century Gothic" w:cs="Century Gothic"/>
                <w:color w:val="00A4E4"/>
                <w:sz w:val="19"/>
              </w:rPr>
              <w:t>gebouw</w:t>
            </w:r>
            <w:proofErr w:type="spellEnd"/>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1</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96%</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6. </w:t>
            </w:r>
            <w:proofErr w:type="spellStart"/>
            <w:r>
              <w:rPr>
                <w:rFonts w:ascii="Century Gothic" w:hAnsi="Century Gothic" w:cs="Century Gothic"/>
                <w:color w:val="00A4E4"/>
                <w:sz w:val="19"/>
              </w:rPr>
              <w:t>Deskundigheid</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leerkracht</w:t>
            </w:r>
            <w:proofErr w:type="spellEnd"/>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96%</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Pr="003A670D" w:rsidRDefault="00C12071" w:rsidP="00DE2BC1">
            <w:pPr>
              <w:rPr>
                <w:lang w:val="nl-NL"/>
              </w:rPr>
            </w:pPr>
            <w:r w:rsidRPr="003A670D">
              <w:rPr>
                <w:rFonts w:ascii="Century Gothic" w:hAnsi="Century Gothic" w:cs="Century Gothic"/>
                <w:color w:val="00A4E4"/>
                <w:sz w:val="19"/>
                <w:lang w:val="nl-NL"/>
              </w:rPr>
              <w:t>7. Mate waarin leerkracht naar ouders luistert</w:t>
            </w:r>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96%</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Pr="003A670D" w:rsidRDefault="00C12071" w:rsidP="00DE2BC1">
            <w:pPr>
              <w:rPr>
                <w:lang w:val="nl-NL"/>
              </w:rPr>
            </w:pPr>
            <w:r w:rsidRPr="003A670D">
              <w:rPr>
                <w:rFonts w:ascii="Century Gothic" w:hAnsi="Century Gothic" w:cs="Century Gothic"/>
                <w:color w:val="00A4E4"/>
                <w:sz w:val="19"/>
                <w:lang w:val="nl-NL"/>
              </w:rPr>
              <w:t>8. Aandacht voor uitstapjes en excursies</w:t>
            </w:r>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6</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95%</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9. </w:t>
            </w:r>
            <w:proofErr w:type="spellStart"/>
            <w:r>
              <w:rPr>
                <w:rFonts w:ascii="Century Gothic" w:hAnsi="Century Gothic" w:cs="Century Gothic"/>
                <w:color w:val="00A4E4"/>
                <w:sz w:val="19"/>
              </w:rPr>
              <w:t>Huidige</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schooltijden</w:t>
            </w:r>
            <w:proofErr w:type="spellEnd"/>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7</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95%</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687"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10. </w:t>
            </w:r>
            <w:proofErr w:type="spellStart"/>
            <w:r>
              <w:rPr>
                <w:rFonts w:ascii="Century Gothic" w:hAnsi="Century Gothic" w:cs="Century Gothic"/>
                <w:color w:val="00A4E4"/>
                <w:sz w:val="19"/>
              </w:rPr>
              <w:t>Aandacht</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voor</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gymnastiek</w:t>
            </w:r>
            <w:proofErr w:type="spellEnd"/>
          </w:p>
        </w:tc>
        <w:tc>
          <w:tcPr>
            <w:tcW w:w="1906"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6</w:t>
            </w:r>
          </w:p>
        </w:tc>
        <w:tc>
          <w:tcPr>
            <w:tcW w:w="1561"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94%</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bl>
    <w:p w:rsidR="0071015E" w:rsidRDefault="0071015E" w:rsidP="0071015E"/>
    <w:p w:rsidR="0071015E" w:rsidRPr="00A03496" w:rsidRDefault="0071015E" w:rsidP="0071015E">
      <w:pPr>
        <w:rPr>
          <w:rFonts w:ascii="Century Gothic" w:hAnsi="Century Gothic"/>
          <w:sz w:val="20"/>
        </w:rPr>
      </w:pPr>
    </w:p>
    <w:p w:rsidR="0071015E" w:rsidRPr="00010245" w:rsidRDefault="0071015E" w:rsidP="0071015E">
      <w:pPr>
        <w:pStyle w:val="Kop3"/>
        <w:rPr>
          <w:b w:val="0"/>
          <w:bCs w:val="0"/>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C12071" w:rsidRDefault="00C12071" w:rsidP="0071015E">
      <w:pPr>
        <w:pStyle w:val="Kop3"/>
        <w:rPr>
          <w:noProof/>
          <w:sz w:val="20"/>
          <w:szCs w:val="20"/>
          <w:lang w:val="en-US"/>
        </w:rPr>
      </w:pPr>
    </w:p>
    <w:p w:rsidR="0071015E" w:rsidRPr="00793BD0" w:rsidRDefault="0071015E" w:rsidP="0071015E">
      <w:pPr>
        <w:pStyle w:val="Kop3"/>
        <w:rPr>
          <w:noProof/>
          <w:sz w:val="20"/>
          <w:szCs w:val="20"/>
          <w:lang w:val="en-US"/>
        </w:rPr>
      </w:pPr>
      <w:r w:rsidRPr="00793BD0">
        <w:rPr>
          <w:noProof/>
          <w:sz w:val="20"/>
          <w:szCs w:val="20"/>
          <w:lang w:val="en-US"/>
        </w:rPr>
        <w:t xml:space="preserve"> ‘Top 10’ Ontevredenheid</w:t>
      </w:r>
    </w:p>
    <w:p w:rsidR="0071015E" w:rsidRPr="00793BD0" w:rsidRDefault="0071015E" w:rsidP="0071015E"/>
    <w:tbl>
      <w:tblPr>
        <w:tblStyle w:val="NormalTablePHPDOCX"/>
        <w:tblpPr w:leftFromText="180" w:rightFromText="180" w:vertAnchor="text" w:tblpX="1" w:tblpY="1"/>
        <w:tblOverlap w:val="never"/>
        <w:tblW w:w="0" w:type="auto"/>
        <w:tblLook w:val="01E0" w:firstRow="1" w:lastRow="1" w:firstColumn="1" w:lastColumn="1" w:noHBand="0" w:noVBand="0"/>
      </w:tblPr>
      <w:tblGrid>
        <w:gridCol w:w="3790"/>
        <w:gridCol w:w="1895"/>
        <w:gridCol w:w="1509"/>
        <w:gridCol w:w="222"/>
      </w:tblGrid>
      <w:tr w:rsidR="00C12071" w:rsidTr="00DE2BC1">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C12071" w:rsidRDefault="00C12071" w:rsidP="00DE2BC1"/>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C12071" w:rsidRDefault="00C12071" w:rsidP="00DE2BC1"/>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C12071" w:rsidRDefault="00C12071" w:rsidP="00DE2BC1"/>
        </w:tc>
        <w:tc>
          <w:tcPr>
            <w:tcW w:w="0" w:type="auto"/>
            <w:tcBorders>
              <w:top w:val="none" w:sz="4" w:space="0" w:color="auto"/>
              <w:left w:val="none" w:sz="4" w:space="0" w:color="auto"/>
              <w:bottom w:val="none" w:sz="4" w:space="0" w:color="auto"/>
              <w:right w:val="none" w:sz="4" w:space="0" w:color="auto"/>
            </w:tcBorders>
          </w:tcPr>
          <w:p w:rsidR="00C12071" w:rsidRDefault="00C12071" w:rsidP="00DE2BC1"/>
        </w:tc>
      </w:tr>
      <w:tr w:rsidR="00C12071" w:rsidTr="00DE2BC1">
        <w:tc>
          <w:tcPr>
            <w:tcW w:w="0" w:type="auto"/>
            <w:tcBorders>
              <w:top w:val="single" w:sz="10" w:space="0" w:color="00A4E4"/>
              <w:left w:val="single" w:sz="10" w:space="0" w:color="00A4E4"/>
              <w:bottom w:val="single" w:sz="10" w:space="0" w:color="00A4E4"/>
              <w:right w:val="single" w:sz="10" w:space="0" w:color="00A4E4"/>
            </w:tcBorders>
            <w:shd w:val="solid" w:color="00A4E4" w:fill="auto"/>
          </w:tcPr>
          <w:p w:rsidR="00C12071" w:rsidRDefault="00C12071" w:rsidP="00DE2BC1">
            <w:proofErr w:type="spellStart"/>
            <w:r>
              <w:rPr>
                <w:rFonts w:ascii="Century Gothic" w:hAnsi="Century Gothic" w:cs="Century Gothic"/>
                <w:b/>
                <w:color w:val="FFFFFF"/>
                <w:sz w:val="19"/>
              </w:rPr>
              <w:t>Verbeterpunten</w:t>
            </w:r>
            <w:proofErr w:type="spellEnd"/>
          </w:p>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rsidR="00C12071" w:rsidRDefault="00C12071" w:rsidP="00DE2BC1">
            <w:proofErr w:type="spellStart"/>
            <w:r>
              <w:rPr>
                <w:rFonts w:ascii="Century Gothic" w:hAnsi="Century Gothic" w:cs="Century Gothic"/>
                <w:b/>
                <w:color w:val="00A4E4"/>
                <w:sz w:val="19"/>
              </w:rPr>
              <w:t>Rubrieksnummer</w:t>
            </w:r>
            <w:proofErr w:type="spellEnd"/>
          </w:p>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rsidR="00C12071" w:rsidRDefault="00C12071" w:rsidP="00DE2BC1">
            <w:r>
              <w:rPr>
                <w:rFonts w:ascii="Century Gothic" w:hAnsi="Century Gothic" w:cs="Century Gothic"/>
                <w:b/>
                <w:color w:val="00A4E4"/>
                <w:sz w:val="19"/>
              </w:rPr>
              <w:t>BS De Peppel</w:t>
            </w:r>
          </w:p>
        </w:tc>
        <w:tc>
          <w:tcPr>
            <w:tcW w:w="0" w:type="auto"/>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1. </w:t>
            </w:r>
            <w:proofErr w:type="spellStart"/>
            <w:r>
              <w:rPr>
                <w:rFonts w:ascii="Century Gothic" w:hAnsi="Century Gothic" w:cs="Century Gothic"/>
                <w:color w:val="00A4E4"/>
                <w:sz w:val="19"/>
              </w:rPr>
              <w:t>Veiligheid</w:t>
            </w:r>
            <w:proofErr w:type="spellEnd"/>
            <w:r>
              <w:rPr>
                <w:rFonts w:ascii="Century Gothic" w:hAnsi="Century Gothic" w:cs="Century Gothic"/>
                <w:color w:val="00A4E4"/>
                <w:sz w:val="19"/>
              </w:rPr>
              <w:t xml:space="preserve"> op het </w:t>
            </w:r>
            <w:proofErr w:type="spellStart"/>
            <w:r>
              <w:rPr>
                <w:rFonts w:ascii="Century Gothic" w:hAnsi="Century Gothic" w:cs="Century Gothic"/>
                <w:color w:val="00A4E4"/>
                <w:sz w:val="19"/>
              </w:rPr>
              <w:t>plein</w:t>
            </w:r>
            <w:proofErr w:type="spellEnd"/>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39%</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Pr="003A670D" w:rsidRDefault="00C12071" w:rsidP="00DE2BC1">
            <w:pPr>
              <w:rPr>
                <w:lang w:val="nl-NL"/>
              </w:rPr>
            </w:pPr>
            <w:r w:rsidRPr="003A670D">
              <w:rPr>
                <w:rFonts w:ascii="Century Gothic" w:hAnsi="Century Gothic" w:cs="Century Gothic"/>
                <w:color w:val="00A4E4"/>
                <w:sz w:val="19"/>
                <w:lang w:val="nl-NL"/>
              </w:rPr>
              <w:t>2. Veiligheid op weg naar school</w:t>
            </w:r>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32%</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Pr="003A670D" w:rsidRDefault="00C12071" w:rsidP="00DE2BC1">
            <w:pPr>
              <w:rPr>
                <w:lang w:val="nl-NL"/>
              </w:rPr>
            </w:pPr>
            <w:r w:rsidRPr="003A670D">
              <w:rPr>
                <w:rFonts w:ascii="Century Gothic" w:hAnsi="Century Gothic" w:cs="Century Gothic"/>
                <w:color w:val="00A4E4"/>
                <w:sz w:val="19"/>
                <w:lang w:val="nl-NL"/>
              </w:rPr>
              <w:t>3. Omgang van de kinderen onderling</w:t>
            </w:r>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4</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29%</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4. </w:t>
            </w:r>
            <w:proofErr w:type="spellStart"/>
            <w:r>
              <w:rPr>
                <w:rFonts w:ascii="Century Gothic" w:hAnsi="Century Gothic" w:cs="Century Gothic"/>
                <w:color w:val="00A4E4"/>
                <w:sz w:val="19"/>
              </w:rPr>
              <w:t>Speelmogelijkheden</w:t>
            </w:r>
            <w:proofErr w:type="spellEnd"/>
            <w:r>
              <w:rPr>
                <w:rFonts w:ascii="Century Gothic" w:hAnsi="Century Gothic" w:cs="Century Gothic"/>
                <w:color w:val="00A4E4"/>
                <w:sz w:val="19"/>
              </w:rPr>
              <w:t xml:space="preserve"> op het </w:t>
            </w:r>
            <w:proofErr w:type="spellStart"/>
            <w:r>
              <w:rPr>
                <w:rFonts w:ascii="Century Gothic" w:hAnsi="Century Gothic" w:cs="Century Gothic"/>
                <w:color w:val="00A4E4"/>
                <w:sz w:val="19"/>
              </w:rPr>
              <w:t>plein</w:t>
            </w:r>
            <w:proofErr w:type="spellEnd"/>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27%</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5. </w:t>
            </w:r>
            <w:proofErr w:type="spellStart"/>
            <w:r>
              <w:rPr>
                <w:rFonts w:ascii="Century Gothic" w:hAnsi="Century Gothic" w:cs="Century Gothic"/>
                <w:color w:val="00A4E4"/>
                <w:sz w:val="19"/>
              </w:rPr>
              <w:t>Informatievoorziening</w:t>
            </w:r>
            <w:proofErr w:type="spellEnd"/>
            <w:r>
              <w:rPr>
                <w:rFonts w:ascii="Century Gothic" w:hAnsi="Century Gothic" w:cs="Century Gothic"/>
                <w:color w:val="00A4E4"/>
                <w:sz w:val="19"/>
              </w:rPr>
              <w:t xml:space="preserve"> over het kind</w:t>
            </w:r>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10</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26%</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6. </w:t>
            </w:r>
            <w:proofErr w:type="spellStart"/>
            <w:r>
              <w:rPr>
                <w:rFonts w:ascii="Century Gothic" w:hAnsi="Century Gothic" w:cs="Century Gothic"/>
                <w:color w:val="00A4E4"/>
                <w:sz w:val="19"/>
              </w:rPr>
              <w:t>Informatievoorziening</w:t>
            </w:r>
            <w:proofErr w:type="spellEnd"/>
            <w:r>
              <w:rPr>
                <w:rFonts w:ascii="Century Gothic" w:hAnsi="Century Gothic" w:cs="Century Gothic"/>
                <w:color w:val="00A4E4"/>
                <w:sz w:val="19"/>
              </w:rPr>
              <w:t xml:space="preserve"> over de school</w:t>
            </w:r>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10</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25%</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7. </w:t>
            </w:r>
            <w:proofErr w:type="spellStart"/>
            <w:r>
              <w:rPr>
                <w:rFonts w:ascii="Century Gothic" w:hAnsi="Century Gothic" w:cs="Century Gothic"/>
                <w:color w:val="00A4E4"/>
                <w:sz w:val="19"/>
              </w:rPr>
              <w:t>Aandacht</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voor</w:t>
            </w:r>
            <w:proofErr w:type="spellEnd"/>
            <w:r>
              <w:rPr>
                <w:rFonts w:ascii="Century Gothic" w:hAnsi="Century Gothic" w:cs="Century Gothic"/>
                <w:color w:val="00A4E4"/>
                <w:sz w:val="19"/>
              </w:rPr>
              <w:t xml:space="preserve"> </w:t>
            </w:r>
            <w:proofErr w:type="spellStart"/>
            <w:r>
              <w:rPr>
                <w:rFonts w:ascii="Century Gothic" w:hAnsi="Century Gothic" w:cs="Century Gothic"/>
                <w:color w:val="00A4E4"/>
                <w:sz w:val="19"/>
              </w:rPr>
              <w:t>pestgedrag</w:t>
            </w:r>
            <w:proofErr w:type="spellEnd"/>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3</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23%</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Pr="003A670D" w:rsidRDefault="00C12071" w:rsidP="00DE2BC1">
            <w:pPr>
              <w:rPr>
                <w:lang w:val="nl-NL"/>
              </w:rPr>
            </w:pPr>
            <w:r w:rsidRPr="003A670D">
              <w:rPr>
                <w:rFonts w:ascii="Century Gothic" w:hAnsi="Century Gothic" w:cs="Century Gothic"/>
                <w:color w:val="00A4E4"/>
                <w:sz w:val="19"/>
                <w:lang w:val="nl-NL"/>
              </w:rPr>
              <w:t>8. Rust en orde op school</w:t>
            </w:r>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8</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23%</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Pr="003A670D" w:rsidRDefault="00C12071" w:rsidP="00DE2BC1">
            <w:pPr>
              <w:rPr>
                <w:lang w:val="nl-NL"/>
              </w:rPr>
            </w:pPr>
            <w:r w:rsidRPr="003A670D">
              <w:rPr>
                <w:rFonts w:ascii="Century Gothic" w:hAnsi="Century Gothic" w:cs="Century Gothic"/>
                <w:color w:val="00A4E4"/>
                <w:sz w:val="19"/>
                <w:lang w:val="nl-NL"/>
              </w:rPr>
              <w:t>9. Rust en orde in de klas</w:t>
            </w:r>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4</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23%</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r w:rsidR="00C12071" w:rsidTr="00C12071">
        <w:tc>
          <w:tcPr>
            <w:tcW w:w="3790"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 xml:space="preserve">10. </w:t>
            </w:r>
            <w:proofErr w:type="spellStart"/>
            <w:r>
              <w:rPr>
                <w:rFonts w:ascii="Century Gothic" w:hAnsi="Century Gothic" w:cs="Century Gothic"/>
                <w:color w:val="00A4E4"/>
                <w:sz w:val="19"/>
              </w:rPr>
              <w:t>Sfeer</w:t>
            </w:r>
            <w:proofErr w:type="spellEnd"/>
            <w:r>
              <w:rPr>
                <w:rFonts w:ascii="Century Gothic" w:hAnsi="Century Gothic" w:cs="Century Gothic"/>
                <w:color w:val="00A4E4"/>
                <w:sz w:val="19"/>
              </w:rPr>
              <w:t xml:space="preserve"> in de </w:t>
            </w:r>
            <w:proofErr w:type="spellStart"/>
            <w:r>
              <w:rPr>
                <w:rFonts w:ascii="Century Gothic" w:hAnsi="Century Gothic" w:cs="Century Gothic"/>
                <w:color w:val="00A4E4"/>
                <w:sz w:val="19"/>
              </w:rPr>
              <w:t>klas</w:t>
            </w:r>
            <w:proofErr w:type="spellEnd"/>
          </w:p>
        </w:tc>
        <w:tc>
          <w:tcPr>
            <w:tcW w:w="1895"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4</w:t>
            </w:r>
          </w:p>
        </w:tc>
        <w:tc>
          <w:tcPr>
            <w:tcW w:w="1509" w:type="dxa"/>
            <w:tcBorders>
              <w:top w:val="single" w:sz="10" w:space="0" w:color="00A4E4"/>
              <w:left w:val="single" w:sz="10" w:space="0" w:color="00A4E4"/>
              <w:bottom w:val="single" w:sz="10" w:space="0" w:color="00A4E4"/>
              <w:right w:val="single" w:sz="10" w:space="0" w:color="00A4E4"/>
            </w:tcBorders>
          </w:tcPr>
          <w:p w:rsidR="00C12071" w:rsidRDefault="00C12071" w:rsidP="00DE2BC1">
            <w:r>
              <w:rPr>
                <w:rFonts w:ascii="Century Gothic" w:hAnsi="Century Gothic" w:cs="Century Gothic"/>
                <w:color w:val="00A4E4"/>
                <w:sz w:val="19"/>
              </w:rPr>
              <w:t>17%</w:t>
            </w:r>
          </w:p>
        </w:tc>
        <w:tc>
          <w:tcPr>
            <w:tcW w:w="222" w:type="dxa"/>
            <w:tcBorders>
              <w:top w:val="none" w:sz="4" w:space="0" w:color="auto"/>
              <w:left w:val="none" w:sz="4" w:space="0" w:color="auto"/>
              <w:bottom w:val="none" w:sz="4" w:space="0" w:color="auto"/>
              <w:right w:val="none" w:sz="4" w:space="0" w:color="auto"/>
            </w:tcBorders>
          </w:tcPr>
          <w:p w:rsidR="00C12071" w:rsidRDefault="00C12071" w:rsidP="00DE2BC1"/>
        </w:tc>
      </w:tr>
    </w:tbl>
    <w:p w:rsidR="00E461C5" w:rsidRDefault="00E461C5"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C12071" w:rsidRDefault="00C12071" w:rsidP="0077137D">
      <w:pPr>
        <w:rPr>
          <w:rFonts w:ascii="Century Gothic" w:hAnsi="Century Gothic" w:cs="Century Gothic"/>
          <w:b/>
          <w:color w:val="00B0F0"/>
          <w:sz w:val="32"/>
          <w:szCs w:val="32"/>
          <w:lang w:val="nl-NL"/>
        </w:rPr>
      </w:pPr>
    </w:p>
    <w:p w:rsidR="00E461C5" w:rsidRPr="00E461C5" w:rsidRDefault="00E461C5" w:rsidP="0077137D">
      <w:pPr>
        <w:rPr>
          <w:rFonts w:ascii="Century Gothic" w:hAnsi="Century Gothic" w:cs="Century Gothic"/>
          <w:color w:val="000000" w:themeColor="text1"/>
          <w:sz w:val="22"/>
          <w:szCs w:val="22"/>
          <w:lang w:val="nl-NL"/>
        </w:rPr>
      </w:pPr>
    </w:p>
    <w:sectPr w:rsidR="00E461C5" w:rsidRPr="00E46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FA1B7E"/>
    <w:multiLevelType w:val="hybridMultilevel"/>
    <w:tmpl w:val="DE4C924C"/>
    <w:lvl w:ilvl="0" w:tplc="E62CC9CC">
      <w:start w:val="1"/>
      <w:numFmt w:val="bullet"/>
      <w:lvlText w:val=""/>
      <w:lvlJc w:val="left"/>
      <w:pPr>
        <w:tabs>
          <w:tab w:val="num" w:pos="567"/>
        </w:tabs>
        <w:ind w:left="567" w:hanging="56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7D"/>
    <w:rsid w:val="004F65AD"/>
    <w:rsid w:val="0071015E"/>
    <w:rsid w:val="0074447A"/>
    <w:rsid w:val="0077137D"/>
    <w:rsid w:val="008540C9"/>
    <w:rsid w:val="00891D4F"/>
    <w:rsid w:val="00C12071"/>
    <w:rsid w:val="00E46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09D2"/>
  <w15:chartTrackingRefBased/>
  <w15:docId w15:val="{5D67F8F3-F035-4116-8D51-1BE91C1F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7137D"/>
    <w:pPr>
      <w:spacing w:after="0" w:line="240" w:lineRule="auto"/>
    </w:pPr>
    <w:rPr>
      <w:rFonts w:ascii="Times New Roman" w:eastAsiaTheme="minorEastAsia" w:hAnsi="Times New Roman" w:cs="Times New Roman"/>
      <w:sz w:val="24"/>
      <w:szCs w:val="24"/>
      <w:lang w:val="en-US"/>
    </w:rPr>
  </w:style>
  <w:style w:type="paragraph" w:styleId="Kop1">
    <w:name w:val="heading 1"/>
    <w:basedOn w:val="Standaard"/>
    <w:next w:val="Standaard"/>
    <w:link w:val="Kop1Char"/>
    <w:autoRedefine/>
    <w:uiPriority w:val="99"/>
    <w:qFormat/>
    <w:rsid w:val="0077137D"/>
    <w:pPr>
      <w:keepNext/>
      <w:autoSpaceDE w:val="0"/>
      <w:autoSpaceDN w:val="0"/>
      <w:adjustRightInd w:val="0"/>
      <w:outlineLvl w:val="0"/>
    </w:pPr>
    <w:rPr>
      <w:rFonts w:ascii="Century Gothic" w:hAnsi="Century Gothic" w:cs="Century Gothic"/>
      <w:b/>
      <w:bCs/>
      <w:color w:val="00A4E4"/>
      <w:spacing w:val="40"/>
      <w:sz w:val="30"/>
      <w:szCs w:val="30"/>
      <w:lang w:val="nl-NL"/>
    </w:rPr>
  </w:style>
  <w:style w:type="paragraph" w:styleId="Kop2">
    <w:name w:val="heading 2"/>
    <w:basedOn w:val="Standaard"/>
    <w:next w:val="Standaard"/>
    <w:link w:val="Kop2Char"/>
    <w:uiPriority w:val="99"/>
    <w:qFormat/>
    <w:rsid w:val="0077137D"/>
    <w:pPr>
      <w:keepNext/>
      <w:autoSpaceDE w:val="0"/>
      <w:autoSpaceDN w:val="0"/>
      <w:adjustRightInd w:val="0"/>
      <w:outlineLvl w:val="1"/>
    </w:pPr>
    <w:rPr>
      <w:rFonts w:ascii="Century Gothic" w:hAnsi="Century Gothic" w:cs="Century Gothic"/>
      <w:b/>
      <w:bCs/>
      <w:sz w:val="28"/>
      <w:szCs w:val="28"/>
      <w:lang w:val="nl-NL"/>
    </w:rPr>
  </w:style>
  <w:style w:type="paragraph" w:styleId="Kop3">
    <w:name w:val="heading 3"/>
    <w:basedOn w:val="Standaard"/>
    <w:next w:val="Standaard"/>
    <w:link w:val="Kop3Char"/>
    <w:uiPriority w:val="99"/>
    <w:qFormat/>
    <w:rsid w:val="0077137D"/>
    <w:pPr>
      <w:keepNext/>
      <w:outlineLvl w:val="2"/>
    </w:pPr>
    <w:rPr>
      <w:rFonts w:ascii="Century Gothic" w:hAnsi="Century Gothic" w:cs="Century Gothic"/>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77137D"/>
    <w:pPr>
      <w:widowControl w:val="0"/>
      <w:autoSpaceDE w:val="0"/>
      <w:autoSpaceDN w:val="0"/>
      <w:adjustRightInd w:val="0"/>
    </w:pPr>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77137D"/>
    <w:rPr>
      <w:rFonts w:ascii="Courier New" w:eastAsiaTheme="minorEastAsia" w:hAnsi="Courier New" w:cs="Courier New"/>
      <w:sz w:val="20"/>
      <w:szCs w:val="20"/>
      <w:lang w:val="en-US"/>
    </w:rPr>
  </w:style>
  <w:style w:type="paragraph" w:styleId="Plattetekst">
    <w:name w:val="Body Text"/>
    <w:basedOn w:val="Standaard"/>
    <w:link w:val="PlattetekstChar"/>
    <w:uiPriority w:val="99"/>
    <w:rsid w:val="0077137D"/>
    <w:rPr>
      <w:rFonts w:ascii="Arial" w:hAnsi="Arial" w:cs="Arial"/>
      <w:sz w:val="22"/>
      <w:szCs w:val="22"/>
    </w:rPr>
  </w:style>
  <w:style w:type="character" w:customStyle="1" w:styleId="PlattetekstChar">
    <w:name w:val="Platte tekst Char"/>
    <w:basedOn w:val="Standaardalinea-lettertype"/>
    <w:link w:val="Plattetekst"/>
    <w:uiPriority w:val="99"/>
    <w:rsid w:val="0077137D"/>
    <w:rPr>
      <w:rFonts w:ascii="Arial" w:eastAsiaTheme="minorEastAsia" w:hAnsi="Arial" w:cs="Arial"/>
      <w:lang w:val="en-US"/>
    </w:rPr>
  </w:style>
  <w:style w:type="character" w:customStyle="1" w:styleId="Kop1Char">
    <w:name w:val="Kop 1 Char"/>
    <w:basedOn w:val="Standaardalinea-lettertype"/>
    <w:link w:val="Kop1"/>
    <w:uiPriority w:val="99"/>
    <w:rsid w:val="0077137D"/>
    <w:rPr>
      <w:rFonts w:ascii="Century Gothic" w:eastAsiaTheme="minorEastAsia" w:hAnsi="Century Gothic" w:cs="Century Gothic"/>
      <w:b/>
      <w:bCs/>
      <w:color w:val="00A4E4"/>
      <w:spacing w:val="40"/>
      <w:sz w:val="30"/>
      <w:szCs w:val="30"/>
    </w:rPr>
  </w:style>
  <w:style w:type="character" w:customStyle="1" w:styleId="Kop2Char">
    <w:name w:val="Kop 2 Char"/>
    <w:basedOn w:val="Standaardalinea-lettertype"/>
    <w:link w:val="Kop2"/>
    <w:uiPriority w:val="9"/>
    <w:rsid w:val="0077137D"/>
    <w:rPr>
      <w:rFonts w:ascii="Century Gothic" w:eastAsiaTheme="minorEastAsia" w:hAnsi="Century Gothic" w:cs="Century Gothic"/>
      <w:b/>
      <w:bCs/>
      <w:sz w:val="28"/>
      <w:szCs w:val="28"/>
    </w:rPr>
  </w:style>
  <w:style w:type="character" w:customStyle="1" w:styleId="Kop3Char">
    <w:name w:val="Kop 3 Char"/>
    <w:basedOn w:val="Standaardalinea-lettertype"/>
    <w:link w:val="Kop3"/>
    <w:uiPriority w:val="99"/>
    <w:rsid w:val="0077137D"/>
    <w:rPr>
      <w:rFonts w:ascii="Century Gothic" w:eastAsiaTheme="minorEastAsia" w:hAnsi="Century Gothic" w:cs="Century Gothic"/>
      <w:b/>
      <w:bCs/>
      <w:sz w:val="24"/>
      <w:szCs w:val="24"/>
    </w:rPr>
  </w:style>
  <w:style w:type="paragraph" w:customStyle="1" w:styleId="Tekstzonderopmaak1">
    <w:name w:val="Tekst zonder opmaak1"/>
    <w:basedOn w:val="Standaard"/>
    <w:rsid w:val="0077137D"/>
    <w:pPr>
      <w:widowControl w:val="0"/>
      <w:suppressAutoHyphens/>
      <w:autoSpaceDE w:val="0"/>
    </w:pPr>
    <w:rPr>
      <w:rFonts w:ascii="Courier New" w:eastAsia="Times New Roman" w:hAnsi="Courier New" w:cs="Courier New"/>
      <w:sz w:val="20"/>
      <w:szCs w:val="20"/>
      <w:lang w:eastAsia="zh-CN"/>
    </w:rPr>
  </w:style>
  <w:style w:type="paragraph" w:customStyle="1" w:styleId="ListParagraphPHPDOCX">
    <w:name w:val="List Paragraph PHPDOCX"/>
    <w:basedOn w:val="Standaard"/>
    <w:uiPriority w:val="34"/>
    <w:qFormat/>
    <w:rsid w:val="0077137D"/>
    <w:rPr>
      <w:rFonts w:ascii="Century Gothic" w:eastAsiaTheme="minorHAnsi" w:hAnsi="Century Gothic" w:cstheme="minorBidi"/>
      <w:sz w:val="20"/>
      <w:szCs w:val="22"/>
    </w:rPr>
  </w:style>
  <w:style w:type="table" w:customStyle="1" w:styleId="NormalTablePHPDOCX">
    <w:name w:val="Normal Table PHPDOCX"/>
    <w:uiPriority w:val="99"/>
    <w:semiHidden/>
    <w:unhideWhenUsed/>
    <w:qFormat/>
    <w:rsid w:val="0077137D"/>
    <w:pPr>
      <w:spacing w:after="0" w:line="240" w:lineRule="auto"/>
    </w:pPr>
    <w:rPr>
      <w:lang w:val="en-US"/>
    </w:rPr>
    <w:tblPr>
      <w:tblInd w:w="0" w:type="dxa"/>
      <w:tblCellMar>
        <w:top w:w="0" w:type="dxa"/>
        <w:left w:w="108" w:type="dxa"/>
        <w:bottom w:w="0" w:type="dxa"/>
        <w:right w:w="108" w:type="dxa"/>
      </w:tblCellMar>
    </w:tblPr>
  </w:style>
  <w:style w:type="paragraph" w:styleId="Lijstalinea">
    <w:name w:val="List Paragraph"/>
    <w:basedOn w:val="Standaard"/>
    <w:uiPriority w:val="34"/>
    <w:qFormat/>
    <w:rsid w:val="0071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de Peppel</dc:creator>
  <cp:keywords/>
  <dc:description/>
  <cp:lastModifiedBy>Nicole Ansems-Oomens</cp:lastModifiedBy>
  <cp:revision>2</cp:revision>
  <cp:lastPrinted>2020-01-09T09:37:00Z</cp:lastPrinted>
  <dcterms:created xsi:type="dcterms:W3CDTF">2020-03-05T10:26:00Z</dcterms:created>
  <dcterms:modified xsi:type="dcterms:W3CDTF">2020-03-05T10:26:00Z</dcterms:modified>
</cp:coreProperties>
</file>