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DDBEF"/>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tabs>
          <w:tab w:val="right" w:leader="none" w:pos="9978"/>
        </w:tabs>
        <w:spacing w:after="240" w:before="0" w:line="240" w:lineRule="auto"/>
        <w:ind w:left="0" w:right="0" w:firstLine="0"/>
        <w:jc w:val="left"/>
        <w:rPr>
          <w:rFonts w:ascii="Calibri" w:cs="Calibri" w:eastAsia="Calibri" w:hAnsi="Calibri"/>
          <w:b w:val="1"/>
          <w:i w:val="0"/>
          <w:smallCaps w:val="0"/>
          <w:strike w:val="0"/>
          <w:color w:val="ad0b6b"/>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color w:val="ad0b6b"/>
          <w:sz w:val="32"/>
          <w:szCs w:val="32"/>
          <w:rtl w:val="0"/>
        </w:rPr>
        <w:t xml:space="preserve"> Stappenplan Meldcode huiselijk geweld en/of kindermishandeling</w:t>
      </w:r>
      <w:r w:rsidDel="00000000" w:rsidR="00000000" w:rsidRPr="00000000">
        <w:rPr>
          <w:rFonts w:ascii="Calibri" w:cs="Calibri" w:eastAsia="Calibri" w:hAnsi="Calibri"/>
          <w:b w:val="1"/>
          <w:i w:val="0"/>
          <w:smallCaps w:val="0"/>
          <w:strike w:val="0"/>
          <w:color w:val="ad0b6b"/>
          <w:sz w:val="20"/>
          <w:szCs w:val="20"/>
          <w:u w:val="none"/>
          <w:shd w:fill="auto" w:val="clear"/>
          <w:vertAlign w:val="baseline"/>
          <w:rtl w:val="0"/>
        </w:rPr>
        <w:tab/>
      </w:r>
      <w:r w:rsidDel="00000000" w:rsidR="00000000" w:rsidRPr="00000000">
        <w:rPr>
          <w:rtl w:val="0"/>
        </w:rPr>
      </w:r>
    </w:p>
    <w:tbl>
      <w:tblPr>
        <w:tblStyle w:val="Table1"/>
        <w:tblW w:w="9968.0" w:type="dxa"/>
        <w:jc w:val="center"/>
        <w:tblBorders>
          <w:top w:color="ad0b6b" w:space="0" w:sz="4" w:val="single"/>
          <w:left w:color="ad0b6b" w:space="0" w:sz="4" w:val="single"/>
          <w:bottom w:color="ad0b6b" w:space="0" w:sz="4" w:val="single"/>
          <w:right w:color="ad0b6b" w:space="0" w:sz="4" w:val="single"/>
          <w:insideH w:color="ad0b6b" w:space="0" w:sz="4" w:val="single"/>
          <w:insideV w:color="ad0b6b" w:space="0" w:sz="4" w:val="single"/>
        </w:tblBorders>
        <w:tblLayout w:type="fixed"/>
        <w:tblLook w:val="0400"/>
      </w:tblPr>
      <w:tblGrid>
        <w:gridCol w:w="9968"/>
        <w:tblGridChange w:id="0">
          <w:tblGrid>
            <w:gridCol w:w="9968"/>
          </w:tblGrid>
        </w:tblGridChange>
      </w:tblGrid>
      <w:tr>
        <w:trPr>
          <w:cantSplit w:val="0"/>
          <w:tblHeader w:val="0"/>
        </w:trPr>
        <w:tc>
          <w:tcPr>
            <w:shd w:fill="ffffff" w:val="cle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2"/>
              <w:tblW w:w="9510.0" w:type="dxa"/>
              <w:jc w:val="left"/>
              <w:tblBorders>
                <w:top w:color="ad0b6b" w:space="0" w:sz="8" w:val="single"/>
                <w:left w:color="ad0b6b" w:space="0" w:sz="8" w:val="single"/>
                <w:bottom w:color="ad0b6b" w:space="0" w:sz="8" w:val="single"/>
                <w:right w:color="ad0b6b" w:space="0" w:sz="8" w:val="single"/>
                <w:insideH w:color="ad0b6b" w:space="0" w:sz="8" w:val="single"/>
                <w:insideV w:color="ad0b6b" w:space="0" w:sz="8" w:val="single"/>
              </w:tblBorders>
              <w:tblLayout w:type="fixed"/>
              <w:tblLook w:val="0400"/>
            </w:tblPr>
            <w:tblGrid>
              <w:gridCol w:w="4712"/>
              <w:gridCol w:w="4798"/>
              <w:tblGridChange w:id="0">
                <w:tblGrid>
                  <w:gridCol w:w="4712"/>
                  <w:gridCol w:w="4798"/>
                </w:tblGrid>
              </w:tblGridChange>
            </w:tblGrid>
            <w:tr>
              <w:trPr>
                <w:cantSplit w:val="0"/>
                <w:trHeight w:val="615" w:hRule="atLeast"/>
                <w:tblHeader w:val="0"/>
              </w:trPr>
              <w:tc>
                <w:tcPr>
                  <w:tcBorders>
                    <w:top w:color="ad0b6b" w:space="0" w:sz="4" w:val="single"/>
                    <w:left w:color="000000" w:space="0" w:sz="0" w:val="nil"/>
                    <w:bottom w:color="ffffff" w:space="0" w:sz="8" w:val="single"/>
                    <w:right w:color="000000" w:space="0" w:sz="0" w:val="nil"/>
                  </w:tcBorders>
                  <w:shd w:fill="ad0b6b" w:val="clear"/>
                </w:tcPr>
                <w:p w:rsidR="00000000" w:rsidDel="00000000" w:rsidP="00000000" w:rsidRDefault="00000000" w:rsidRPr="00000000" w14:paraId="00000003">
                  <w:pPr>
                    <w:rPr>
                      <w:b w:val="1"/>
                      <w:color w:val="ffffff"/>
                      <w:sz w:val="24"/>
                      <w:szCs w:val="24"/>
                    </w:rPr>
                  </w:pPr>
                  <w:r w:rsidDel="00000000" w:rsidR="00000000" w:rsidRPr="00000000">
                    <w:rPr>
                      <w:b w:val="1"/>
                      <w:color w:val="ffffff"/>
                      <w:sz w:val="24"/>
                      <w:szCs w:val="24"/>
                      <w:rtl w:val="0"/>
                    </w:rPr>
                    <w:t xml:space="preserve">Expertduo</w:t>
                  </w:r>
                  <w:r w:rsidDel="00000000" w:rsidR="00000000" w:rsidRPr="00000000">
                    <w:rPr>
                      <w:rtl w:val="0"/>
                    </w:rPr>
                  </w:r>
                </w:p>
              </w:tc>
              <w:tc>
                <w:tcPr>
                  <w:tcBorders>
                    <w:top w:color="ad0b6b" w:space="0" w:sz="4" w:val="single"/>
                    <w:left w:color="000000" w:space="0" w:sz="0" w:val="nil"/>
                  </w:tcBorders>
                  <w:shd w:fill="auto" w:val="clear"/>
                </w:tcPr>
                <w:p w:rsidR="00000000" w:rsidDel="00000000" w:rsidP="00000000" w:rsidRDefault="00000000" w:rsidRPr="00000000" w14:paraId="00000004">
                  <w:pPr>
                    <w:rPr>
                      <w:sz w:val="24"/>
                      <w:szCs w:val="24"/>
                    </w:rPr>
                  </w:pPr>
                  <w:r w:rsidDel="00000000" w:rsidR="00000000" w:rsidRPr="00000000">
                    <w:rPr>
                      <w:sz w:val="24"/>
                      <w:szCs w:val="24"/>
                      <w:rtl w:val="0"/>
                    </w:rPr>
                    <w:t xml:space="preserve">Kwaliteitscoördinator</w:t>
                  </w:r>
                </w:p>
              </w:tc>
            </w:tr>
            <w:tr>
              <w:trPr>
                <w:cantSplit w:val="0"/>
                <w:trHeight w:val="560" w:hRule="atLeast"/>
                <w:tblHeader w:val="0"/>
              </w:trPr>
              <w:tc>
                <w:tcPr>
                  <w:tcBorders>
                    <w:top w:color="ffffff" w:space="0" w:sz="8" w:val="single"/>
                    <w:left w:color="000000" w:space="0" w:sz="0" w:val="nil"/>
                    <w:bottom w:color="ffffff" w:space="0" w:sz="8" w:val="single"/>
                    <w:right w:color="000000" w:space="0" w:sz="0" w:val="nil"/>
                  </w:tcBorders>
                  <w:shd w:fill="ad0b6b" w:val="clear"/>
                </w:tcPr>
                <w:p w:rsidR="00000000" w:rsidDel="00000000" w:rsidP="00000000" w:rsidRDefault="00000000" w:rsidRPr="00000000" w14:paraId="00000005">
                  <w:pPr>
                    <w:rPr>
                      <w:b w:val="1"/>
                      <w:color w:val="ffffff"/>
                      <w:sz w:val="24"/>
                      <w:szCs w:val="24"/>
                    </w:rPr>
                  </w:pPr>
                  <w:r w:rsidDel="00000000" w:rsidR="00000000" w:rsidRPr="00000000">
                    <w:rPr>
                      <w:b w:val="1"/>
                      <w:color w:val="ffffff"/>
                      <w:sz w:val="24"/>
                      <w:szCs w:val="24"/>
                      <w:rtl w:val="0"/>
                    </w:rPr>
                    <w:t xml:space="preserve">Experts</w:t>
                  </w:r>
                </w:p>
              </w:tc>
              <w:tc>
                <w:tcPr>
                  <w:tcBorders>
                    <w:left w:color="000000" w:space="0" w:sz="0" w:val="nil"/>
                  </w:tcBorders>
                </w:tcPr>
                <w:p w:rsidR="00000000" w:rsidDel="00000000" w:rsidP="00000000" w:rsidRDefault="00000000" w:rsidRPr="00000000" w14:paraId="00000006">
                  <w:pPr>
                    <w:rPr>
                      <w:sz w:val="24"/>
                      <w:szCs w:val="24"/>
                    </w:rPr>
                  </w:pPr>
                  <w:r w:rsidDel="00000000" w:rsidR="00000000" w:rsidRPr="00000000">
                    <w:rPr>
                      <w:sz w:val="24"/>
                      <w:szCs w:val="24"/>
                      <w:rtl w:val="0"/>
                    </w:rPr>
                    <w:t xml:space="preserve">Kwaliteitscoördinator</w:t>
                  </w:r>
                </w:p>
              </w:tc>
            </w:tr>
            <w:tr>
              <w:trPr>
                <w:cantSplit w:val="0"/>
                <w:trHeight w:val="720" w:hRule="atLeast"/>
                <w:tblHeader w:val="0"/>
              </w:trPr>
              <w:tc>
                <w:tcPr>
                  <w:tcBorders>
                    <w:top w:color="ffffff" w:space="0" w:sz="8" w:val="single"/>
                    <w:left w:color="000000" w:space="0" w:sz="0" w:val="nil"/>
                    <w:bottom w:color="ad0b6b" w:space="0" w:sz="8" w:val="single"/>
                    <w:right w:color="000000" w:space="0" w:sz="0" w:val="nil"/>
                  </w:tcBorders>
                  <w:shd w:fill="ad0b6b" w:val="clear"/>
                </w:tcPr>
                <w:p w:rsidR="00000000" w:rsidDel="00000000" w:rsidP="00000000" w:rsidRDefault="00000000" w:rsidRPr="00000000" w14:paraId="00000007">
                  <w:pPr>
                    <w:rPr>
                      <w:b w:val="1"/>
                      <w:color w:val="ffffff"/>
                      <w:sz w:val="24"/>
                      <w:szCs w:val="24"/>
                    </w:rPr>
                  </w:pPr>
                  <w:r w:rsidDel="00000000" w:rsidR="00000000" w:rsidRPr="00000000">
                    <w:rPr>
                      <w:b w:val="1"/>
                      <w:color w:val="ffffff"/>
                      <w:sz w:val="24"/>
                      <w:szCs w:val="24"/>
                      <w:rtl w:val="0"/>
                    </w:rPr>
                    <w:t xml:space="preserve">Hoe vaak evalueren (jaarlijks, om de twee jaar, etc)</w:t>
                  </w:r>
                </w:p>
              </w:tc>
              <w:tc>
                <w:tcPr>
                  <w:tcBorders>
                    <w:left w:color="000000" w:space="0" w:sz="0" w:val="nil"/>
                    <w:bottom w:color="ad0b6b" w:space="0" w:sz="8" w:val="single"/>
                  </w:tcBorders>
                </w:tcPr>
                <w:p w:rsidR="00000000" w:rsidDel="00000000" w:rsidP="00000000" w:rsidRDefault="00000000" w:rsidRPr="00000000" w14:paraId="00000008">
                  <w:pPr>
                    <w:rPr>
                      <w:sz w:val="24"/>
                      <w:szCs w:val="24"/>
                    </w:rPr>
                  </w:pPr>
                  <w:r w:rsidDel="00000000" w:rsidR="00000000" w:rsidRPr="00000000">
                    <w:rPr>
                      <w:sz w:val="24"/>
                      <w:szCs w:val="24"/>
                      <w:rtl w:val="0"/>
                    </w:rPr>
                    <w:t xml:space="preserve">jaarlijks</w:t>
                  </w:r>
                </w:p>
              </w:tc>
            </w:tr>
          </w:tbl>
          <w:p w:rsidR="00000000" w:rsidDel="00000000" w:rsidP="00000000" w:rsidRDefault="00000000" w:rsidRPr="00000000" w14:paraId="00000009">
            <w:pPr>
              <w:rPr>
                <w:sz w:val="24"/>
                <w:szCs w:val="24"/>
              </w:rPr>
            </w:pPr>
            <w:r w:rsidDel="00000000" w:rsidR="00000000" w:rsidRPr="00000000">
              <w:rPr>
                <w:rtl w:val="0"/>
              </w:rPr>
            </w:r>
          </w:p>
        </w:tc>
      </w:tr>
      <w:tr>
        <w:trPr>
          <w:cantSplit w:val="0"/>
          <w:trHeight w:val="1440" w:hRule="atLeast"/>
          <w:tblHeader w:val="0"/>
        </w:trPr>
        <w:tc>
          <w:tcPr>
            <w:shd w:fill="ffffff" w:val="clear"/>
          </w:tcPr>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Doel</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Op Ridderspoor worden de stappen van de meldcode huiselijk geweld/ kindermishandeling doorlopen wanneer er vermoedens zijn van huiselijk geweld en/of kindermishandeling.</w:t>
            </w:r>
          </w:p>
          <w:p w:rsidR="00000000" w:rsidDel="00000000" w:rsidP="00000000" w:rsidRDefault="00000000" w:rsidRPr="00000000" w14:paraId="0000000C">
            <w:pPr>
              <w:rPr/>
            </w:pPr>
            <w:r w:rsidDel="00000000" w:rsidR="00000000" w:rsidRPr="00000000">
              <w:rPr>
                <w:rtl w:val="0"/>
              </w:rPr>
            </w:r>
          </w:p>
        </w:tc>
      </w:tr>
      <w:tr>
        <w:trPr>
          <w:cantSplit w:val="0"/>
          <w:trHeight w:val="1800" w:hRule="atLeast"/>
          <w:tblHeader w:val="0"/>
        </w:trPr>
        <w:tc>
          <w:tcPr>
            <w:shd w:fill="ffffff" w:val="clear"/>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Aanpak</w:t>
            </w:r>
          </w:p>
          <w:p w:rsidR="00000000" w:rsidDel="00000000" w:rsidP="00000000" w:rsidRDefault="00000000" w:rsidRPr="00000000" w14:paraId="0000000E">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Stap 1:</w:t>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In kaart brengen van signalen. Feitelijke signalen worden vastgelegd in Parnassys. Hierbij worden alleen feiten beschreven en datum vermeld. Er wordt altijd een kindcheck gedaan, vormen de problemen een acuut probleem voor de veiligheid van het kind.</w:t>
            </w:r>
          </w:p>
          <w:p w:rsidR="00000000" w:rsidDel="00000000" w:rsidP="00000000" w:rsidRDefault="00000000" w:rsidRPr="00000000" w14:paraId="00000010">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Stap 2:</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Collegiale consultatie (aandachtsfunctionaris/ veilig thuis). Bespreek de signalen met de aandachtsfunctionaris. Zij kunnen aan de hand van wegingsformulier m.b.t. veiligheid (bijlage 1) goed overwegen wat nodig lijkt.</w:t>
            </w:r>
          </w:p>
          <w:p w:rsidR="00000000" w:rsidDel="00000000" w:rsidP="00000000" w:rsidRDefault="00000000" w:rsidRPr="00000000" w14:paraId="00000012">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Stap 3: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Gesprek met ouders/betrokkenen. Signalen die er zijn worden besproken met de ouders/verzorgers. Zowel de signalen en de reactie van ouders/verzorgers komen aan bod. Indien zorg is weggenomen worden er geen verdere stappen genomen, indien de zorg blijft worden de volgende stappen in de meldcode gezet. Wanneer blijkt dat er hulp is ingezet, maakt school een melding in de verwijsindex (ouders zijn hiervan altijd op de hoogte), andere professionals kunnen hier ook in melden, zo heb je een overzicht van betrokken partijen.</w:t>
            </w:r>
          </w:p>
          <w:p w:rsidR="00000000" w:rsidDel="00000000" w:rsidP="00000000" w:rsidRDefault="00000000" w:rsidRPr="00000000" w14:paraId="00000014">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Stap 4:</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Wegen van de aard en ernst van huiselijk geweld en/of kindermishandeling. Is er op basis van stap 1-2-3 nog een vermoeden van geweld/kindermishandeling? Dit is afwegings vraag 1. Het wegen wordt gedaan door de aandachtsfunctionaris (Evelien Collaris) al dan niet in overleg met Veilig Thuis. </w:t>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Bij NEE: de meldcode sluit en alle betrokkenen worden hiervan op de hoogte gebracht</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Bij TWIJFEL: er wordt contact gezocht met Veilig Thuis (VT)</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Arial" w:cs="Arial" w:eastAsia="Arial" w:hAnsi="Arial"/>
                <w:sz w:val="20"/>
                <w:szCs w:val="20"/>
                <w:rtl w:val="0"/>
              </w:rPr>
              <w:t xml:space="preserve">Bij JA: er wordt gebruik gemaakt van het afwegingskader van het onderwijs</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Stap 5:</w:t>
            </w: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Het afwegingskader. Stel de 3 volgende vragen in vaste volgorde:</w:t>
            </w:r>
          </w:p>
          <w:p w:rsidR="00000000" w:rsidDel="00000000" w:rsidP="00000000" w:rsidRDefault="00000000" w:rsidRPr="00000000" w14:paraId="0000001B">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Is er sprake van acute en/of structurele onveiligheid, incl. disclosure? Het is noodzakelijk om te melden (</w:t>
            </w:r>
            <w:r w:rsidDel="00000000" w:rsidR="00000000" w:rsidRPr="00000000">
              <w:rPr>
                <w:rFonts w:ascii="Arial" w:cs="Arial" w:eastAsia="Arial" w:hAnsi="Arial"/>
                <w:sz w:val="20"/>
                <w:szCs w:val="20"/>
                <w:rtl w:val="0"/>
              </w:rPr>
              <w:t xml:space="preserve">Meldnorm</w:t>
            </w:r>
            <w:r w:rsidDel="00000000" w:rsidR="00000000" w:rsidRPr="00000000">
              <w:rPr>
                <w:rFonts w:ascii="Arial" w:cs="Arial" w:eastAsia="Arial" w:hAnsi="Arial"/>
                <w:sz w:val="20"/>
                <w:szCs w:val="20"/>
                <w:rtl w:val="0"/>
              </w:rPr>
              <w:t xml:space="preserve"> A, zie bijlage 2)</w:t>
            </w:r>
          </w:p>
          <w:p w:rsidR="00000000" w:rsidDel="00000000" w:rsidP="00000000" w:rsidRDefault="00000000" w:rsidRPr="00000000" w14:paraId="0000001C">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Kan ik hulp bieden of organiseren en kan (de dreiging van) huiselijk geweld/kindermishandeling afgewend worden (</w:t>
            </w:r>
            <w:r w:rsidDel="00000000" w:rsidR="00000000" w:rsidRPr="00000000">
              <w:rPr>
                <w:rFonts w:ascii="Arial" w:cs="Arial" w:eastAsia="Arial" w:hAnsi="Arial"/>
                <w:sz w:val="20"/>
                <w:szCs w:val="20"/>
                <w:rtl w:val="0"/>
              </w:rPr>
              <w:t xml:space="preserve">meldnorm</w:t>
            </w:r>
            <w:r w:rsidDel="00000000" w:rsidR="00000000" w:rsidRPr="00000000">
              <w:rPr>
                <w:rFonts w:ascii="Arial" w:cs="Arial" w:eastAsia="Arial" w:hAnsi="Arial"/>
                <w:sz w:val="20"/>
                <w:szCs w:val="20"/>
                <w:rtl w:val="0"/>
              </w:rPr>
              <w:t xml:space="preserve"> b, bijlage 2)</w:t>
            </w:r>
          </w:p>
          <w:p w:rsidR="00000000" w:rsidDel="00000000" w:rsidP="00000000" w:rsidRDefault="00000000" w:rsidRPr="00000000" w14:paraId="0000001D">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Aanvaarden de betrokkenen de hulp zoals in afweging 3 is afgesproken </w:t>
            </w:r>
          </w:p>
          <w:p w:rsidR="00000000" w:rsidDel="00000000" w:rsidP="00000000" w:rsidRDefault="00000000" w:rsidRPr="00000000" w14:paraId="0000001E">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Leidt de hulp tot het afgesproken resultaat m.b.t. veiligheid, welzijn en/of herstel van de direct betrokkenen) (</w:t>
            </w:r>
            <w:r w:rsidDel="00000000" w:rsidR="00000000" w:rsidRPr="00000000">
              <w:rPr>
                <w:rFonts w:ascii="Arial" w:cs="Arial" w:eastAsia="Arial" w:hAnsi="Arial"/>
                <w:sz w:val="20"/>
                <w:szCs w:val="20"/>
                <w:rtl w:val="0"/>
              </w:rPr>
              <w:t xml:space="preserve">meldnorm</w:t>
            </w:r>
            <w:r w:rsidDel="00000000" w:rsidR="00000000" w:rsidRPr="00000000">
              <w:rPr>
                <w:rFonts w:ascii="Arial" w:cs="Arial" w:eastAsia="Arial" w:hAnsi="Arial"/>
                <w:sz w:val="20"/>
                <w:szCs w:val="20"/>
                <w:rtl w:val="0"/>
              </w:rPr>
              <w:t xml:space="preserve"> c, bijlage 2)</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Wanneer het mogelijk is om na de melding zelf passende hulp te bieden/organiseren, wordt de beslissing over de soort hulp en de voorwaarden m.b.t. de veiligheid in overleg met VT genomen</w:t>
            </w:r>
          </w:p>
          <w:p w:rsidR="00000000" w:rsidDel="00000000" w:rsidP="00000000" w:rsidRDefault="00000000" w:rsidRPr="00000000" w14:paraId="0000002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Belangrijk:</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In alle stappen dient te worden aangegeven hoe ouders/betrokkenen worden geïnformeerd over het proces, de te nemen beslissingen en op welke wijze meningen/ideeën worden meegenomen.</w:t>
            </w:r>
          </w:p>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We zijn verplicht om melding te doen bij veilig thuis wanneer:</w:t>
            </w:r>
          </w:p>
          <w:p w:rsidR="00000000" w:rsidDel="00000000" w:rsidP="00000000" w:rsidRDefault="00000000" w:rsidRPr="00000000" w14:paraId="00000025">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Er vermoedens zijn van acute en/of structurele onveiligheid</w:t>
            </w:r>
          </w:p>
          <w:p w:rsidR="00000000" w:rsidDel="00000000" w:rsidP="00000000" w:rsidRDefault="00000000" w:rsidRPr="00000000" w14:paraId="00000026">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Als professional zelf niet de juiste hulp kan bieden</w:t>
            </w:r>
          </w:p>
          <w:p w:rsidR="00000000" w:rsidDel="00000000" w:rsidP="00000000" w:rsidRDefault="00000000" w:rsidRPr="00000000" w14:paraId="00000027">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Als er geen verbetering ontstaat na inzet van hulp gericht op het creëren van veiligheid.</w:t>
            </w:r>
          </w:p>
        </w:tc>
      </w:tr>
      <w:tr>
        <w:trPr>
          <w:cantSplit w:val="0"/>
          <w:trHeight w:val="1360" w:hRule="atLeast"/>
          <w:tblHeader w:val="0"/>
        </w:trPr>
        <w:tc>
          <w:tcPr>
            <w:shd w:fill="ffffff" w:val="clear"/>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Informatie voor ouders/verzorgers:</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Ouders worden van elke stap die in de meldcode wordt gezet meegenomen. Dit gaat altijd in de vorm van een gesprek.</w:t>
            </w:r>
          </w:p>
          <w:p w:rsidR="00000000" w:rsidDel="00000000" w:rsidP="00000000" w:rsidRDefault="00000000" w:rsidRPr="00000000" w14:paraId="0000002A">
            <w:pPr>
              <w:rPr>
                <w:rFonts w:ascii="Arial" w:cs="Arial" w:eastAsia="Arial" w:hAnsi="Arial"/>
                <w:color w:val="ad0b6b"/>
              </w:rPr>
            </w:pPr>
            <w:r w:rsidDel="00000000" w:rsidR="00000000" w:rsidRPr="00000000">
              <w:rPr>
                <w:rtl w:val="0"/>
              </w:rPr>
            </w:r>
          </w:p>
        </w:tc>
      </w:tr>
      <w:tr>
        <w:trPr>
          <w:cantSplit w:val="0"/>
          <w:trHeight w:val="1360" w:hRule="atLeast"/>
          <w:tblHeader w:val="0"/>
        </w:trPr>
        <w:tc>
          <w:tcPr>
            <w:shd w:fill="ffffff" w:val="clear"/>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Wat registreren we in het leerlingvolgsysteem? </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Verslaglegging gesprekken met ouders en betrokken worden in Parnassys vastgelegd.</w:t>
            </w:r>
          </w:p>
        </w:tc>
      </w:tr>
      <w:tr>
        <w:trPr>
          <w:cantSplit w:val="0"/>
          <w:trHeight w:val="1380" w:hRule="atLeast"/>
          <w:tblHeader w:val="0"/>
        </w:trPr>
        <w:tc>
          <w:tcPr>
            <w:shd w:fill="ffffff" w:val="clear"/>
          </w:tcPr>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Overig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Opgeleide aandachtsfunctionaris op Ridderspoor: Evelien Collaris</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Telefoonnummer Veilig Thuis: 0800-2000</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Bij twijfel kan een casus altijd anoniem besproken worden voor advies.</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Aanwezig op school:Reader Huiselijk Geweld en Kindermishandeling. Signaleringslijsten v.a. blz. 231</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color w:val="808080"/>
              </w:rPr>
            </w:pPr>
            <w:r w:rsidDel="00000000" w:rsidR="00000000" w:rsidRPr="00000000">
              <w:rPr>
                <w:rFonts w:ascii="Arial" w:cs="Arial" w:eastAsia="Arial" w:hAnsi="Arial"/>
                <w:color w:val="808080"/>
                <w:rtl w:val="0"/>
              </w:rPr>
              <w:br w:type="textWrapping"/>
            </w:r>
          </w:p>
          <w:p w:rsidR="00000000" w:rsidDel="00000000" w:rsidP="00000000" w:rsidRDefault="00000000" w:rsidRPr="00000000" w14:paraId="00000034">
            <w:pPr>
              <w:rPr>
                <w:rFonts w:ascii="Arial" w:cs="Arial" w:eastAsia="Arial" w:hAnsi="Arial"/>
                <w:color w:val="808080"/>
              </w:rPr>
            </w:pPr>
            <w:r w:rsidDel="00000000" w:rsidR="00000000" w:rsidRPr="00000000">
              <w:rPr>
                <w:rtl w:val="0"/>
              </w:rPr>
            </w:r>
          </w:p>
          <w:p w:rsidR="00000000" w:rsidDel="00000000" w:rsidP="00000000" w:rsidRDefault="00000000" w:rsidRPr="00000000" w14:paraId="00000035">
            <w:pPr>
              <w:rPr>
                <w:rFonts w:ascii="Arial" w:cs="Arial" w:eastAsia="Arial" w:hAnsi="Arial"/>
                <w:color w:val="808080"/>
              </w:rPr>
            </w:pPr>
            <w:r w:rsidDel="00000000" w:rsidR="00000000" w:rsidRPr="00000000">
              <w:rPr>
                <w:rtl w:val="0"/>
              </w:rPr>
            </w:r>
          </w:p>
        </w:tc>
      </w:tr>
    </w:tbl>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Bijlage 1: Wegingsformulier m.b.t. veiligheid</w:t>
      </w:r>
    </w:p>
    <w:p w:rsidR="00000000" w:rsidDel="00000000" w:rsidP="00000000" w:rsidRDefault="00000000" w:rsidRPr="00000000" w14:paraId="0000004F">
      <w:pPr>
        <w:rPr>
          <w:rFonts w:ascii="Calibri" w:cs="Calibri" w:eastAsia="Calibri" w:hAnsi="Calibri"/>
          <w:b w:val="1"/>
          <w:sz w:val="28"/>
          <w:szCs w:val="28"/>
        </w:rPr>
      </w:pPr>
      <w:r w:rsidDel="00000000" w:rsidR="00000000" w:rsidRPr="00000000">
        <w:rPr>
          <w:rFonts w:ascii="Arial" w:cs="Arial" w:eastAsia="Arial" w:hAnsi="Arial"/>
        </w:rPr>
        <w:drawing>
          <wp:inline distB="114300" distT="114300" distL="114300" distR="114300">
            <wp:extent cx="6096000" cy="766762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096000" cy="766762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6076950" cy="80391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076950" cy="80391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tl w:val="0"/>
        </w:rPr>
      </w:r>
    </w:p>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Bijlage 2 </w:t>
      </w:r>
      <w:r w:rsidDel="00000000" w:rsidR="00000000" w:rsidRPr="00000000">
        <w:rPr>
          <w:rFonts w:ascii="Arial" w:cs="Arial" w:eastAsia="Arial" w:hAnsi="Arial"/>
          <w:b w:val="1"/>
          <w:rtl w:val="0"/>
        </w:rPr>
        <w:t xml:space="preserve">Meldnormen</w:t>
      </w:r>
      <w:r w:rsidDel="00000000" w:rsidR="00000000" w:rsidRPr="00000000">
        <w:rPr>
          <w:rtl w:val="0"/>
        </w:rPr>
      </w:r>
    </w:p>
    <w:p w:rsidR="00000000" w:rsidDel="00000000" w:rsidP="00000000" w:rsidRDefault="00000000" w:rsidRPr="00000000" w14:paraId="00000059">
      <w:pPr>
        <w:rPr>
          <w:rFonts w:ascii="Arial" w:cs="Arial" w:eastAsia="Arial" w:hAnsi="Arial"/>
          <w:b w:val="1"/>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5381625" cy="74676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381625" cy="74676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rFonts w:ascii="Arial" w:cs="Arial" w:eastAsia="Arial" w:hAnsi="Arial"/>
          <w:b w:val="1"/>
        </w:rPr>
      </w:pPr>
      <w:r w:rsidDel="00000000" w:rsidR="00000000" w:rsidRPr="00000000">
        <w:rPr>
          <w:rtl w:val="0"/>
        </w:rPr>
      </w:r>
    </w:p>
    <w:p w:rsidR="00000000" w:rsidDel="00000000" w:rsidP="00000000" w:rsidRDefault="00000000" w:rsidRPr="00000000" w14:paraId="0000005C">
      <w:pP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5667375" cy="790575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667375" cy="7905750"/>
                    </a:xfrm>
                    <a:prstGeom prst="rect"/>
                    <a:ln/>
                  </pic:spPr>
                </pic:pic>
              </a:graphicData>
            </a:graphic>
          </wp:inline>
        </w:drawing>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709" w:top="1440"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1"/>
      <w:keepLines w:val="1"/>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ad0b6b"/>
        <w:sz w:val="32"/>
        <w:szCs w:val="32"/>
        <w:u w:val="none"/>
        <w:shd w:fill="auto" w:val="clear"/>
        <w:vertAlign w:val="baseline"/>
      </w:rPr>
    </w:pPr>
    <w:r w:rsidDel="00000000" w:rsidR="00000000" w:rsidRPr="00000000">
      <w:rPr>
        <w:rFonts w:ascii="Calibri" w:cs="Calibri" w:eastAsia="Calibri" w:hAnsi="Calibri"/>
        <w:b w:val="1"/>
        <w:i w:val="0"/>
        <w:smallCaps w:val="0"/>
        <w:strike w:val="0"/>
        <w:color w:val="ad0b6b"/>
        <w:sz w:val="32"/>
        <w:szCs w:val="32"/>
        <w:u w:val="none"/>
        <w:shd w:fill="auto" w:val="clear"/>
        <w:vertAlign w:val="baseline"/>
        <w:rtl w:val="0"/>
      </w:rPr>
      <w:t xml:space="preserve">Ridderspoor kwaliteitskaarten</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rFonts w:ascii="Calibri" w:cs="Calibri" w:eastAsia="Calibri" w:hAnsi="Calibri"/>
      <w:b w:val="1"/>
      <w:color w:val="ad0b6b"/>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rFonts w:ascii="Calibri" w:cs="Calibri" w:eastAsia="Calibri" w:hAnsi="Calibri"/>
      <w:b w:val="1"/>
      <w:color w:val="ad0b6b"/>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rFonts w:ascii="Calibri" w:cs="Calibri" w:eastAsia="Calibri" w:hAnsi="Calibri"/>
      <w:b w:val="1"/>
      <w:color w:val="ad0b6b"/>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240"/>
      <w:outlineLvl w:val="0"/>
    </w:pPr>
    <w:rPr>
      <w:rFonts w:ascii="Calibri" w:cs="Calibri" w:eastAsia="Calibri" w:hAnsi="Calibri"/>
      <w:b w:val="1"/>
      <w:color w:val="ad0b6b"/>
      <w:sz w:val="32"/>
      <w:szCs w:val="32"/>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uiPriority w:val="10"/>
    <w:qFormat w:val="1"/>
    <w:pPr>
      <w:keepNext w:val="1"/>
      <w:keepLines w:val="1"/>
      <w:spacing w:after="120" w:before="480"/>
    </w:pPr>
    <w:rPr>
      <w:b w:val="1"/>
      <w:sz w:val="72"/>
      <w:szCs w:val="7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Standaardtabel"/>
    <w:tblPr>
      <w:tblStyleRowBandSize w:val="1"/>
      <w:tblStyleColBandSize w:val="1"/>
      <w:tblCellMar>
        <w:top w:w="57.0" w:type="dxa"/>
        <w:bottom w:w="57.0" w:type="dxa"/>
      </w:tblCellMar>
    </w:tblPr>
  </w:style>
  <w:style w:type="table" w:styleId="a0" w:customStyle="1">
    <w:basedOn w:val="Standaardtabel"/>
    <w:tblPr>
      <w:tblStyleRowBandSize w:val="1"/>
      <w:tblStyleColBandSize w:val="1"/>
      <w:tblCellMar>
        <w:top w:w="57.0" w:type="dxa"/>
        <w:bottom w:w="57.0" w:type="dxa"/>
      </w:tblCellMar>
    </w:tblPr>
  </w:style>
  <w:style w:type="table" w:styleId="a1" w:customStyle="1">
    <w:basedOn w:val="Standaardtabel"/>
    <w:tblPr>
      <w:tblStyleRowBandSize w:val="1"/>
      <w:tblStyleColBandSize w:val="1"/>
      <w:tblCellMar>
        <w:top w:w="57.0" w:type="dxa"/>
        <w:bottom w:w="57.0" w:type="dxa"/>
      </w:tblCellMar>
    </w:tblPr>
  </w:style>
  <w:style w:type="table" w:styleId="a2" w:customStyle="1">
    <w:basedOn w:val="Standaardtabel"/>
    <w:tblPr>
      <w:tblStyleRowBandSize w:val="1"/>
      <w:tblStyleColBandSize w:val="1"/>
      <w:tblCellMar>
        <w:top w:w="57.0" w:type="dxa"/>
        <w:bottom w:w="57.0" w:type="dxa"/>
      </w:tblCellMar>
    </w:tblPr>
  </w:style>
  <w:style w:type="table" w:styleId="a3" w:customStyle="1">
    <w:basedOn w:val="Standaardtabel"/>
    <w:tblPr>
      <w:tblStyleRowBandSize w:val="1"/>
      <w:tblStyleColBandSize w:val="1"/>
      <w:tblCellMar>
        <w:top w:w="57.0" w:type="dxa"/>
        <w:bottom w:w="57.0" w:type="dxa"/>
      </w:tblCellMar>
    </w:tblPr>
  </w:style>
  <w:style w:type="table" w:styleId="a4" w:customStyle="1">
    <w:basedOn w:val="Standaardtabel"/>
    <w:tblPr>
      <w:tblStyleRowBandSize w:val="1"/>
      <w:tblStyleColBandSize w:val="1"/>
      <w:tblCellMar>
        <w:top w:w="57.0" w:type="dxa"/>
        <w:bottom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4V1plIVIOOpRgShEHUnybxSdYA==">AMUW2mXtG4skWZSQkVmgdsUZvkpRF0shuWzc9cEJX1efnPtH3wf41kLxhz8w/oBW3YnTshRaJnmVWF31tGy52v+Y+ypqMGM+5IN8w2Lux2YNBumKZoM6HyNxICnOLqhXkbSXyIi2jDTs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2022-04-13T08:25:00Z</dcterms:created>
  <dc:creator>Gebruiker</dc:creator>
</cp:coreProperties>
</file>