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r w:rsidRPr="0026036C">
        <w:rPr>
          <w:rFonts w:ascii="Arial Narrow" w:eastAsia="Times New Roman" w:hAnsi="Arial Narrow" w:cs="Times New Roman"/>
          <w:b/>
          <w:bCs/>
          <w:spacing w:val="-3"/>
          <w:sz w:val="28"/>
          <w:szCs w:val="28"/>
          <w:lang w:eastAsia="nl-NL"/>
        </w:rPr>
        <w:t>Het schoolondersteuningsprofiel van de Knienenbult.</w:t>
      </w:r>
    </w:p>
    <w:p w:rsidR="0026036C" w:rsidRPr="0026036C" w:rsidRDefault="0026036C" w:rsidP="0026036C">
      <w:pPr>
        <w:jc w:val="both"/>
        <w:rPr>
          <w:rFonts w:ascii="Arial Narrow" w:eastAsia="Times New Roman" w:hAnsi="Arial Narrow" w:cs="Times New Roman"/>
          <w:b/>
          <w:bCs/>
          <w:spacing w:val="-3"/>
          <w:sz w:val="28"/>
          <w:szCs w:val="28"/>
          <w:lang w:eastAsia="nl-NL"/>
        </w:rPr>
      </w:pP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b/>
          <w:sz w:val="22"/>
          <w:szCs w:val="22"/>
        </w:rPr>
        <w:t xml:space="preserve">Onderwijsondersteuning voor leerlingen met  speciale onderwijsbehoeften.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biedt onderwijsondersteuning aan leerlingen die speciale onderwijsbehoeften hebben. Wanneer de school tegen haar grenzen aanloopt, is er de mogelijkheid om de leerling te verwijzen naar een andere reguliere basisschool of naar een andere speciale basisschool.</w:t>
      </w: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jc w:val="both"/>
        <w:rPr>
          <w:rFonts w:ascii="Arial Narrow" w:eastAsia="Calibri" w:hAnsi="Arial Narrow" w:cs="Times New Roman"/>
          <w:b/>
          <w:sz w:val="22"/>
          <w:szCs w:val="22"/>
        </w:rPr>
      </w:pPr>
      <w:r w:rsidRPr="0026036C">
        <w:rPr>
          <w:rFonts w:ascii="Arial Narrow" w:eastAsia="Calibri" w:hAnsi="Arial Narrow" w:cs="Times New Roman"/>
          <w:b/>
          <w:sz w:val="22"/>
          <w:szCs w:val="22"/>
        </w:rPr>
        <w:t>Het onderwijsconcept.</w:t>
      </w:r>
    </w:p>
    <w:p w:rsidR="0026036C" w:rsidRPr="0026036C" w:rsidRDefault="0026036C" w:rsidP="0026036C">
      <w:pPr>
        <w:jc w:val="both"/>
        <w:rPr>
          <w:rFonts w:ascii="Arial Narrow" w:eastAsia="Calibri" w:hAnsi="Arial Narrow" w:cs="Times New Roman"/>
          <w:b/>
          <w:sz w:val="22"/>
          <w:szCs w:val="22"/>
        </w:rPr>
      </w:pPr>
    </w:p>
    <w:p w:rsidR="0026036C" w:rsidRPr="0026036C" w:rsidRDefault="0026036C" w:rsidP="0026036C">
      <w:pPr>
        <w:numPr>
          <w:ilvl w:val="0"/>
          <w:numId w:val="1"/>
        </w:numPr>
        <w:jc w:val="both"/>
        <w:rPr>
          <w:rFonts w:ascii="Arial Narrow" w:eastAsia="Calibri" w:hAnsi="Arial Narrow" w:cs="Times New Roman"/>
          <w:b/>
          <w:sz w:val="22"/>
          <w:szCs w:val="22"/>
        </w:rPr>
      </w:pPr>
      <w:r w:rsidRPr="0026036C">
        <w:rPr>
          <w:rFonts w:ascii="Arial Narrow" w:eastAsia="Calibri" w:hAnsi="Arial Narrow" w:cs="Times New Roman"/>
          <w:b/>
          <w:i/>
          <w:sz w:val="22"/>
          <w:szCs w:val="22"/>
        </w:rPr>
        <w:t>In hoeverre heeft de school te maken met verschillen tussen leerlingen</w:t>
      </w:r>
      <w:r w:rsidRPr="0026036C">
        <w:rPr>
          <w:rFonts w:ascii="Arial Narrow" w:eastAsia="Calibri" w:hAnsi="Arial Narrow" w:cs="Times New Roman"/>
          <w:b/>
          <w:sz w:val="22"/>
          <w:szCs w:val="22"/>
        </w:rPr>
        <w:t>.</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Knienenbult is Jenaplanbasisschool met 65 leerlingen (mei 2015), in het buitengebied van Westendorp. De school heeft 2 basisgroepen/ units, groep 1 t/m 4 en groep 5 t/m 8. De leerlingen komen uit de wijde regio.</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heeft veel zijinstroom van leerlingen. De bovenbouw is daarom ook steeds groter dan de onderbouw.</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Het gemiddelde niveau van leren is moeilijk aan te geven, de groepen zijn relatief klein en de diversiteit in problematiek is groot.</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Cito-eindtoets scores zijn goed. De gemiddelde van de resultaten lag de afgelopen drie jaar op 541,9 en 543,2 en 537,0.</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In de afgelopen jaren zijn er leerlingen op school gekomen die teruggeplaatst zijn uit het speciaal onderwijs (cluster 4) en uit het speciaal basisonderwijs. Ook is er sprake geweest van </w:t>
      </w:r>
      <w:proofErr w:type="spellStart"/>
      <w:r w:rsidRPr="0026036C">
        <w:rPr>
          <w:rFonts w:ascii="Arial Narrow" w:eastAsia="Calibri" w:hAnsi="Arial Narrow" w:cs="Times New Roman"/>
          <w:sz w:val="22"/>
          <w:szCs w:val="22"/>
        </w:rPr>
        <w:t>Bao-Bao</w:t>
      </w:r>
      <w:proofErr w:type="spellEnd"/>
      <w:r w:rsidRPr="0026036C">
        <w:rPr>
          <w:rFonts w:ascii="Arial Narrow" w:eastAsia="Calibri" w:hAnsi="Arial Narrow" w:cs="Times New Roman"/>
          <w:sz w:val="22"/>
          <w:szCs w:val="22"/>
        </w:rPr>
        <w:t xml:space="preserve">  (basisschool-basisschool) verwijzing.  Vanuit MKD zijn er eveneens kinderen op onze school geplaatst.</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heeft i.v.m. de zijinstromers een procedure ontwikkeld om alles op een verantwoorde manier op te vangen. De Iber observeert de leerling in de klas en gaat in gesprek met de betrokkenen in de school waar de leerling vandaan komt. Er wordt in kaart gebracht wat de mogelijkheden zijn om deze leerling op De Knienenbult op te vangen en met de ouders worden daar afspraken over gemaakt.  Op de school zelf wordt een nadere analyse gemaakt van de mogelijkheden en de ondersteuningsbehoeften van de leerling.</w:t>
      </w:r>
    </w:p>
    <w:p w:rsidR="0026036C" w:rsidRPr="0026036C" w:rsidRDefault="0026036C" w:rsidP="0026036C">
      <w:pPr>
        <w:rPr>
          <w:rFonts w:ascii="Arial Narrow" w:eastAsia="Calibri" w:hAnsi="Arial Narrow" w:cs="Times New Roman"/>
          <w:b/>
          <w:sz w:val="22"/>
          <w:szCs w:val="22"/>
        </w:rPr>
      </w:pPr>
    </w:p>
    <w:p w:rsidR="0026036C" w:rsidRPr="0026036C" w:rsidRDefault="0026036C" w:rsidP="0026036C">
      <w:pPr>
        <w:numPr>
          <w:ilvl w:val="0"/>
          <w:numId w:val="1"/>
        </w:numPr>
        <w:jc w:val="both"/>
        <w:rPr>
          <w:rFonts w:ascii="Arial Narrow" w:eastAsia="Calibri" w:hAnsi="Arial Narrow" w:cs="Times New Roman"/>
          <w:b/>
          <w:i/>
          <w:sz w:val="22"/>
          <w:szCs w:val="22"/>
        </w:rPr>
      </w:pPr>
      <w:r w:rsidRPr="0026036C">
        <w:rPr>
          <w:rFonts w:ascii="Arial Narrow" w:eastAsia="Calibri" w:hAnsi="Arial Narrow" w:cs="Times New Roman"/>
          <w:b/>
          <w:i/>
          <w:sz w:val="22"/>
          <w:szCs w:val="22"/>
        </w:rPr>
        <w:t>Speciale onderwijsbehoeften binnen de school.</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heeft een divers samengesteld team dat bestaat uit leerkrachten, onderwijsassistenten, een pedagogisch medewerker, een coach techniek en op afroep beschikbare coach wiskunde/scheikunde en inzichtelijk dammen.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De 2 units hebben iedere dag een vaste leerkracht en een extra leerkracht voor een gedeelte van de dag. Deze extra leerkrachten worden ingezet op de momenten dat er meer tijd nodig is voor instructie en/of begeleiding (zgn. spitsuren).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Doordat De Knienenbult gebruik maakt van het systeem ‘flexibele groeperingsvormen’ kunnen er doelgroepsettings georganiseerd worden. Zo is er de groeperingsvorm ‘plusgroep’ die minimaal 1x per week georganiseerd wordt. Deze setting is speciaal gericht op leerlingen die meer uitdaging nodig hebben. Er wordt ook een setting georganiseerd voor kinderen die extra sociaal emotionele ondersteuning nodig hebben. Een ander speciaal aanbod is het atelier kunst en techniek , dat één middag per week gegeven wordt door de coach kunst en techniek, speciaal voor kinderen met ASS-problematiek, </w:t>
      </w:r>
      <w:proofErr w:type="spellStart"/>
      <w:r w:rsidRPr="0026036C">
        <w:rPr>
          <w:rFonts w:ascii="Arial Narrow" w:eastAsia="Calibri" w:hAnsi="Arial Narrow" w:cs="Times New Roman"/>
          <w:sz w:val="22"/>
          <w:szCs w:val="22"/>
        </w:rPr>
        <w:t>zml</w:t>
      </w:r>
      <w:proofErr w:type="spellEnd"/>
      <w:r w:rsidRPr="0026036C">
        <w:rPr>
          <w:rFonts w:ascii="Arial Narrow" w:eastAsia="Calibri" w:hAnsi="Arial Narrow" w:cs="Times New Roman"/>
          <w:sz w:val="22"/>
          <w:szCs w:val="22"/>
        </w:rPr>
        <w:t>-niveau en/of kinderen met extra ondersteuningsbehoeften op het gebied van sociaal-emotioneel functioneren.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De school probeert een zo uitdagend mogelijke betekenisvolle leeromgeving te creëren. Er wordt geprobeerd om een divers aanbod met verschillende werkvormen te creëren , zodat leerlingen daar uit kunnen halen wat past en aansluit bij de diverse leerstijlen.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maakt veel gebruik van coachen (op de werkvloer), ondersteunen en professionaliseren van het team, om deze manier onderwijs te kunnen vormgeven.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opvang van leerlingen met speciale onderwijsbehoeften is veelal geïntegreerd in het onderwijsaanbod van de school. Waar mogelijk worden eigen leerroutes in gezamenlijke activiteiten uitgewerkt.</w:t>
      </w: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ind w:left="720"/>
        <w:jc w:val="both"/>
        <w:rPr>
          <w:rFonts w:ascii="Arial Narrow" w:eastAsia="Calibri" w:hAnsi="Arial Narrow" w:cs="Times New Roman"/>
          <w:sz w:val="22"/>
          <w:szCs w:val="22"/>
        </w:rPr>
      </w:pPr>
    </w:p>
    <w:p w:rsidR="0026036C" w:rsidRPr="0026036C" w:rsidRDefault="0026036C" w:rsidP="0026036C">
      <w:pPr>
        <w:numPr>
          <w:ilvl w:val="0"/>
          <w:numId w:val="1"/>
        </w:numPr>
        <w:jc w:val="both"/>
        <w:rPr>
          <w:rFonts w:ascii="Arial Narrow" w:eastAsia="Calibri" w:hAnsi="Arial Narrow" w:cs="Times New Roman"/>
          <w:sz w:val="22"/>
          <w:szCs w:val="22"/>
        </w:rPr>
      </w:pPr>
      <w:r w:rsidRPr="0026036C">
        <w:rPr>
          <w:rFonts w:ascii="Arial Narrow" w:eastAsia="Calibri" w:hAnsi="Arial Narrow" w:cs="Times New Roman"/>
          <w:b/>
          <w:i/>
          <w:sz w:val="22"/>
          <w:szCs w:val="22"/>
        </w:rPr>
        <w:t>De continuïteit van de onderwijsondersteuning.</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ontwikkelingslijnen voor de leerlingen worden per half jaar vastgesteld door de groepsleerkracht i.o. met de Iber.</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 De school werkt met zgn. themabladen om het onderwijs voor langere periodes vast te leggen.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lastRenderedPageBreak/>
        <w:t>De school werkt met het leerlingvolgsysteem Parnassys. Er is een start gemaakt met het gebruik van portfolio’s door kinderen.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Er worden één maal per 2 maanden oudergesprekken gehouden. De ouders maken aan het begin van het schooljaar afspraken met de groepsleerkracht hierover. Indien nodig of gewenst door ouders en/of leerkracht kunnen er gesprekken bij ingepast worden.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Met de ouders van de leerlingen met een specifieke onderwijsbehoefte worden ook naar wens van school/ ouders afspraken gemaakt.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vraag aan de ouders is steeds: hoe vaak en wanneer zijn gesprekken nodig.</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De school  is iedere ochtend vanaf 8.15 uur voor ouder en kind open, voorafgaand aan de les. Op dat moment is er gelegenheid om kort zaken af te stemmen indien nodig. </w:t>
      </w: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jc w:val="both"/>
        <w:rPr>
          <w:rFonts w:ascii="Arial Narrow" w:eastAsia="Calibri" w:hAnsi="Arial Narrow" w:cs="Times New Roman"/>
          <w:b/>
          <w:sz w:val="22"/>
          <w:szCs w:val="22"/>
        </w:rPr>
      </w:pPr>
      <w:r w:rsidRPr="0026036C">
        <w:rPr>
          <w:rFonts w:ascii="Arial Narrow" w:eastAsia="Calibri" w:hAnsi="Arial Narrow" w:cs="Times New Roman"/>
          <w:b/>
          <w:sz w:val="22"/>
          <w:szCs w:val="22"/>
        </w:rPr>
        <w:t>De voorzieningen op De Knienenbult.</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De voorzieningen van de school worden beschreven aan de hand van vijf velden. </w:t>
      </w: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numPr>
          <w:ilvl w:val="0"/>
          <w:numId w:val="1"/>
        </w:numPr>
        <w:jc w:val="both"/>
        <w:rPr>
          <w:rFonts w:ascii="Arial Narrow" w:eastAsia="Calibri" w:hAnsi="Arial Narrow" w:cs="Times New Roman"/>
          <w:b/>
          <w:i/>
          <w:sz w:val="22"/>
          <w:szCs w:val="22"/>
        </w:rPr>
      </w:pPr>
      <w:r w:rsidRPr="0026036C">
        <w:rPr>
          <w:rFonts w:ascii="Arial Narrow" w:eastAsia="Calibri" w:hAnsi="Arial Narrow" w:cs="Times New Roman"/>
          <w:b/>
          <w:i/>
          <w:sz w:val="22"/>
          <w:szCs w:val="22"/>
        </w:rPr>
        <w:t>Veld 1: de hoeveelheid aandacht/ handen in de klas.</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In de onderbouwunit (groep 1 t/m 4) zitten 28 leerlingen.</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In de bovenbouwunit (groep 5 t/m 8) zitten 37 leerlingen (januari 2015).</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In de onderbouwunit worden naast de reguliere leerkracht / unitleider  (30,00 uur) extra handen op de werkvloer ingezet.</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In de bovenbouwunit   worden  naast de reguliere leerkracht / unitleider  (35.00 uur) extra handen op de werkvloer ingezet.</w:t>
      </w:r>
    </w:p>
    <w:p w:rsidR="0026036C" w:rsidRPr="0026036C" w:rsidRDefault="0026036C" w:rsidP="0026036C">
      <w:pPr>
        <w:rPr>
          <w:rFonts w:ascii="Arial Narrow" w:eastAsia="Calibri" w:hAnsi="Arial Narrow" w:cs="Times New Roman"/>
          <w:sz w:val="22"/>
          <w:szCs w:val="22"/>
        </w:rPr>
      </w:pPr>
      <w:r w:rsidRPr="0026036C">
        <w:rPr>
          <w:rFonts w:ascii="Arial Narrow" w:eastAsia="Calibri" w:hAnsi="Arial Narrow" w:cs="Times New Roman"/>
          <w:sz w:val="22"/>
          <w:szCs w:val="22"/>
        </w:rPr>
        <w:t>Daarnaast heeft de Knienenbult nog gedeelde specialisten die beschikbaar zijn voor onder- en bovenbouw.</w:t>
      </w:r>
    </w:p>
    <w:p w:rsidR="0026036C" w:rsidRPr="0026036C" w:rsidRDefault="0026036C" w:rsidP="0026036C">
      <w:pPr>
        <w:rPr>
          <w:rFonts w:ascii="Arial Narrow" w:eastAsia="Calibri" w:hAnsi="Arial Narrow" w:cs="Times New Roman"/>
          <w:sz w:val="22"/>
          <w:szCs w:val="22"/>
        </w:rPr>
      </w:pPr>
      <w:r w:rsidRPr="0026036C">
        <w:rPr>
          <w:rFonts w:ascii="Arial Narrow" w:eastAsia="Calibri" w:hAnsi="Arial Narrow" w:cs="Times New Roman"/>
          <w:sz w:val="22"/>
          <w:szCs w:val="22"/>
        </w:rPr>
        <w:t>Het aantal uren extra uren in de groepen kan op minimaal 75 uur gesteld worden.</w:t>
      </w:r>
    </w:p>
    <w:p w:rsidR="0026036C" w:rsidRPr="0026036C" w:rsidRDefault="0026036C" w:rsidP="0026036C">
      <w:pPr>
        <w:rPr>
          <w:rFonts w:ascii="Arial Narrow" w:eastAsia="Calibri" w:hAnsi="Arial Narrow" w:cs="Times New Roman"/>
          <w:sz w:val="22"/>
          <w:szCs w:val="22"/>
        </w:rPr>
      </w:pPr>
    </w:p>
    <w:p w:rsidR="0026036C" w:rsidRPr="0026036C" w:rsidRDefault="0026036C" w:rsidP="0026036C">
      <w:pPr>
        <w:numPr>
          <w:ilvl w:val="0"/>
          <w:numId w:val="1"/>
        </w:numPr>
        <w:rPr>
          <w:rFonts w:ascii="Arial Narrow" w:eastAsia="Calibri" w:hAnsi="Arial Narrow" w:cs="Times New Roman"/>
          <w:b/>
          <w:i/>
          <w:sz w:val="22"/>
          <w:szCs w:val="22"/>
        </w:rPr>
      </w:pPr>
      <w:r w:rsidRPr="0026036C">
        <w:rPr>
          <w:rFonts w:ascii="Arial Narrow" w:eastAsia="Calibri" w:hAnsi="Arial Narrow" w:cs="Times New Roman"/>
          <w:b/>
          <w:i/>
          <w:sz w:val="22"/>
          <w:szCs w:val="22"/>
        </w:rPr>
        <w:t>Veld 2: de onderwijsmaterialen.</w:t>
      </w:r>
    </w:p>
    <w:p w:rsidR="0026036C" w:rsidRPr="0026036C" w:rsidRDefault="0026036C" w:rsidP="0026036C">
      <w:pPr>
        <w:rPr>
          <w:rFonts w:ascii="Arial Narrow" w:eastAsia="Calibri" w:hAnsi="Arial Narrow" w:cs="Times New Roman"/>
          <w:sz w:val="22"/>
          <w:szCs w:val="22"/>
        </w:rPr>
      </w:pPr>
      <w:r w:rsidRPr="0026036C">
        <w:rPr>
          <w:rFonts w:ascii="Arial Narrow" w:eastAsia="Calibri" w:hAnsi="Arial Narrow" w:cs="Times New Roman"/>
          <w:sz w:val="22"/>
          <w:szCs w:val="22"/>
        </w:rPr>
        <w:t xml:space="preserve">Op school is een brede orthotheek  aanwezig , met diverse additionele en remediërende materialen.  Er wordt veel  gebruik gemaakt van digitale ondersteuning waar dit mogelijk is. Indien er materialen nodig zijn, wordt gezorgd voor een adequate oplossing , passend bij deze  leerling met deze ondersteuningsbehoefte.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Het team werkt met Taakspel, het Vriendenprogramma en Kanjertraining.</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 xml:space="preserve">Ondersteuning kan geboden worden via de diverse routes binnen het onderwijs, maar ook routes buiten het onderwijs worden, indien nodig, ingezet. Het team heeft een netwerk opgebouwd van verschillende personen buiten de school, die mee kunnen helpen aan het voldoen aan de ondersteuningsbehoefte van een leerling. Van de diverse achtergronden van de leerkrachten wordt gebruik gemaakt. Zo is er een techniek- en kunstcoach (inzetbaar voor HB, ZML, ADHD,ASS-problematiek, </w:t>
      </w:r>
      <w:proofErr w:type="spellStart"/>
      <w:r w:rsidRPr="0026036C">
        <w:rPr>
          <w:rFonts w:ascii="Arial Narrow" w:eastAsia="Calibri" w:hAnsi="Arial Narrow" w:cs="Times New Roman"/>
          <w:sz w:val="22"/>
          <w:szCs w:val="22"/>
        </w:rPr>
        <w:t>soc</w:t>
      </w:r>
      <w:proofErr w:type="spellEnd"/>
      <w:r w:rsidRPr="0026036C">
        <w:rPr>
          <w:rFonts w:ascii="Arial Narrow" w:eastAsia="Calibri" w:hAnsi="Arial Narrow" w:cs="Times New Roman"/>
          <w:sz w:val="22"/>
          <w:szCs w:val="22"/>
        </w:rPr>
        <w:t xml:space="preserve">-em. ontwikkeling) , een dam coach (inzetbaar voor HB, ADHD),  een stand-upcomedian (rollenspelen, kunst en drama. Inzetbaar voor o.a. HB, ASS, ADHD, </w:t>
      </w:r>
      <w:proofErr w:type="spellStart"/>
      <w:r w:rsidRPr="0026036C">
        <w:rPr>
          <w:rFonts w:ascii="Arial Narrow" w:eastAsia="Calibri" w:hAnsi="Arial Narrow" w:cs="Times New Roman"/>
          <w:sz w:val="22"/>
          <w:szCs w:val="22"/>
        </w:rPr>
        <w:t>soc.em</w:t>
      </w:r>
      <w:proofErr w:type="spellEnd"/>
      <w:r w:rsidRPr="0026036C">
        <w:rPr>
          <w:rFonts w:ascii="Arial Narrow" w:eastAsia="Calibri" w:hAnsi="Arial Narrow" w:cs="Times New Roman"/>
          <w:sz w:val="22"/>
          <w:szCs w:val="22"/>
        </w:rPr>
        <w:t xml:space="preserve"> problematieken), een maatschappelijk werker( gespreksvormen voor diverse groepen of individuen), een trainer met opgeleide </w:t>
      </w:r>
      <w:proofErr w:type="spellStart"/>
      <w:r w:rsidRPr="0026036C">
        <w:rPr>
          <w:rFonts w:ascii="Arial Narrow" w:eastAsia="Calibri" w:hAnsi="Arial Narrow" w:cs="Times New Roman"/>
          <w:sz w:val="22"/>
          <w:szCs w:val="22"/>
        </w:rPr>
        <w:t>hulphond</w:t>
      </w:r>
      <w:proofErr w:type="spellEnd"/>
      <w:r w:rsidRPr="0026036C">
        <w:rPr>
          <w:rFonts w:ascii="Arial Narrow" w:eastAsia="Calibri" w:hAnsi="Arial Narrow" w:cs="Times New Roman"/>
          <w:sz w:val="22"/>
          <w:szCs w:val="22"/>
        </w:rPr>
        <w:t xml:space="preserve"> (ASS-problematiek). Allen zijn inzetbaar binnen onze organisatie.</w:t>
      </w:r>
    </w:p>
    <w:p w:rsidR="0026036C" w:rsidRPr="0026036C" w:rsidRDefault="0026036C" w:rsidP="0026036C">
      <w:pPr>
        <w:jc w:val="both"/>
        <w:rPr>
          <w:rFonts w:ascii="Arial Narrow" w:eastAsia="Calibri" w:hAnsi="Arial Narrow" w:cs="Times New Roman"/>
          <w:sz w:val="22"/>
          <w:szCs w:val="22"/>
        </w:rPr>
      </w:pPr>
    </w:p>
    <w:p w:rsidR="0026036C" w:rsidRPr="0026036C" w:rsidRDefault="0026036C" w:rsidP="0026036C">
      <w:pPr>
        <w:numPr>
          <w:ilvl w:val="0"/>
          <w:numId w:val="1"/>
        </w:numPr>
        <w:jc w:val="both"/>
        <w:rPr>
          <w:rFonts w:ascii="Arial Narrow" w:eastAsia="Calibri" w:hAnsi="Arial Narrow" w:cs="Times New Roman"/>
          <w:b/>
          <w:i/>
          <w:sz w:val="22"/>
          <w:szCs w:val="22"/>
        </w:rPr>
      </w:pPr>
      <w:r w:rsidRPr="0026036C">
        <w:rPr>
          <w:rFonts w:ascii="Arial Narrow" w:eastAsia="Calibri" w:hAnsi="Arial Narrow" w:cs="Times New Roman"/>
          <w:b/>
          <w:i/>
          <w:sz w:val="22"/>
          <w:szCs w:val="22"/>
        </w:rPr>
        <w:t>Veld 3: de ruimtelijke omgeving.</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is ruim opgebouwd, heeft ruime lokalen. De bovenbouwunit is zelfs zeer ruim te noemen: het zijn 2 samengevoegde lokalen.  De school heeft een zeer flexibele indeling, die aangepast kan worden indien nodig. Er is een grote, multi-inzetbare openruimte, een ateliertje voor handvaardigheid met sub- en/doelgroepen, een keuken, een personeelskamer en een IB ruimte.</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Het gebouw is rolstoeltoegankelijk, er is een time-outruimte, verzorgingsruimte, er zijn mogelijkheden voor therapie en een rustruimte. Er is een keuken die de leerlingen kunnen gebruiken. Er is een schooltuin waar de kinderen in kunnen tuinieren. Buiten is er verder veel ruimte waar de kinderen uitgedaagd worden tot verschillende vormen van spel en ontdekken.</w:t>
      </w:r>
    </w:p>
    <w:p w:rsidR="0026036C" w:rsidRPr="0026036C" w:rsidRDefault="0026036C" w:rsidP="0026036C">
      <w:pPr>
        <w:ind w:left="720"/>
        <w:jc w:val="both"/>
        <w:rPr>
          <w:rFonts w:ascii="Arial Narrow" w:eastAsia="Calibri" w:hAnsi="Arial Narrow" w:cs="Times New Roman"/>
          <w:i/>
          <w:sz w:val="22"/>
          <w:szCs w:val="22"/>
        </w:rPr>
      </w:pPr>
    </w:p>
    <w:p w:rsidR="0026036C" w:rsidRPr="0026036C" w:rsidRDefault="0026036C" w:rsidP="0026036C">
      <w:pPr>
        <w:ind w:left="720"/>
        <w:jc w:val="both"/>
        <w:rPr>
          <w:rFonts w:ascii="Arial Narrow" w:eastAsia="Calibri" w:hAnsi="Arial Narrow" w:cs="Times New Roman"/>
          <w:i/>
          <w:sz w:val="22"/>
          <w:szCs w:val="22"/>
        </w:rPr>
      </w:pPr>
    </w:p>
    <w:p w:rsidR="0026036C" w:rsidRPr="0026036C" w:rsidRDefault="0026036C" w:rsidP="0026036C">
      <w:pPr>
        <w:numPr>
          <w:ilvl w:val="0"/>
          <w:numId w:val="1"/>
        </w:numPr>
        <w:jc w:val="both"/>
        <w:rPr>
          <w:rFonts w:ascii="Arial Narrow" w:eastAsia="Calibri" w:hAnsi="Arial Narrow" w:cs="Times New Roman"/>
          <w:i/>
          <w:sz w:val="22"/>
          <w:szCs w:val="22"/>
        </w:rPr>
      </w:pPr>
      <w:r w:rsidRPr="0026036C">
        <w:rPr>
          <w:rFonts w:ascii="Arial Narrow" w:eastAsia="Calibri" w:hAnsi="Arial Narrow" w:cs="Times New Roman"/>
          <w:b/>
          <w:i/>
          <w:sz w:val="22"/>
          <w:szCs w:val="22"/>
        </w:rPr>
        <w:t>Veld 4: de expertise</w:t>
      </w:r>
      <w:r w:rsidRPr="0026036C">
        <w:rPr>
          <w:rFonts w:ascii="Arial Narrow" w:eastAsia="Calibri" w:hAnsi="Arial Narrow" w:cs="Times New Roman"/>
          <w:i/>
          <w:sz w:val="22"/>
          <w:szCs w:val="22"/>
        </w:rPr>
        <w:t xml:space="preserve">. </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Knienenbult heeft teamexpertise op het gebied van werken met leerlijnen, handelingsgericht werken en op vrijwel alle vormen van beperking op het gebied van gedrag en leren. Het team heeft een grote diversiteit aan expertise en ervaring. Er zijn ook teamleden die vanuit een ander perspectief hun inbreng hebben, zoals maatschappelijk werk en kunstzinnige en culturele vorming.</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lastRenderedPageBreak/>
        <w:t xml:space="preserve">Op de Knienenbult is het van belang dat teamleden een bepaalde attitude beschikken en de visie op onderwijs en ontwikkeling van kinderen met elkaar delen. Er wordt veel gedaan aan interne coaching, begeleiding en intervisie. Er is teamexpertise op de afstemming van het aanbod op de diversiteit ondersteuningsbehoeften van de leerlingen. Het team is voortdurend bezig om te zorgen voor een uitdagende leeromgeving voor de leerlingen. </w:t>
      </w:r>
    </w:p>
    <w:p w:rsidR="0026036C" w:rsidRPr="0026036C" w:rsidRDefault="0026036C" w:rsidP="0026036C">
      <w:pPr>
        <w:ind w:left="720"/>
        <w:jc w:val="both"/>
        <w:rPr>
          <w:rFonts w:ascii="Arial Narrow" w:eastAsia="Calibri" w:hAnsi="Arial Narrow" w:cs="Times New Roman"/>
          <w:b/>
          <w:i/>
          <w:sz w:val="22"/>
          <w:szCs w:val="22"/>
        </w:rPr>
      </w:pPr>
    </w:p>
    <w:p w:rsidR="0026036C" w:rsidRPr="0026036C" w:rsidRDefault="0026036C" w:rsidP="0026036C">
      <w:pPr>
        <w:numPr>
          <w:ilvl w:val="0"/>
          <w:numId w:val="1"/>
        </w:numPr>
        <w:jc w:val="both"/>
        <w:rPr>
          <w:rFonts w:ascii="Arial Narrow" w:eastAsia="Calibri" w:hAnsi="Arial Narrow" w:cs="Times New Roman"/>
          <w:b/>
          <w:i/>
          <w:sz w:val="22"/>
          <w:szCs w:val="22"/>
        </w:rPr>
      </w:pPr>
      <w:r w:rsidRPr="0026036C">
        <w:rPr>
          <w:rFonts w:ascii="Arial Narrow" w:eastAsia="Calibri" w:hAnsi="Arial Narrow" w:cs="Times New Roman"/>
          <w:b/>
          <w:i/>
          <w:sz w:val="22"/>
          <w:szCs w:val="22"/>
        </w:rPr>
        <w:t>Veld 5: de samenwerking met andere instanties.</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De school werkt veel en graag samen</w:t>
      </w:r>
      <w:r w:rsidRPr="0026036C">
        <w:rPr>
          <w:rFonts w:ascii="Arial Narrow" w:eastAsia="Calibri" w:hAnsi="Arial Narrow" w:cs="Times New Roman"/>
          <w:b/>
          <w:sz w:val="22"/>
          <w:szCs w:val="22"/>
        </w:rPr>
        <w:t xml:space="preserve"> </w:t>
      </w:r>
      <w:r w:rsidRPr="0026036C">
        <w:rPr>
          <w:rFonts w:ascii="Arial Narrow" w:eastAsia="Calibri" w:hAnsi="Arial Narrow" w:cs="Times New Roman"/>
          <w:sz w:val="22"/>
          <w:szCs w:val="22"/>
        </w:rPr>
        <w:t>met andere instanties. De school onderkent hierbij het belang van het  “één kind, één plan” principe. De school werkt veel samen met MEE, vooral als het gaat o</w:t>
      </w:r>
      <w:r w:rsidRPr="0026036C">
        <w:rPr>
          <w:rFonts w:ascii="Times New Roman" w:eastAsia="Calibri" w:hAnsi="Times New Roman" w:cs="Times New Roman"/>
          <w:sz w:val="22"/>
          <w:szCs w:val="22"/>
        </w:rPr>
        <w:t xml:space="preserve">m cluster 3 leerlingen </w:t>
      </w:r>
      <w:r w:rsidRPr="0026036C">
        <w:rPr>
          <w:rFonts w:ascii="Arial Narrow" w:eastAsia="Calibri" w:hAnsi="Arial Narrow" w:cs="Times New Roman"/>
          <w:sz w:val="22"/>
          <w:szCs w:val="22"/>
        </w:rPr>
        <w:t>en leerlingen met autisme.</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Er wordt vaak samengewerkt  met het MKD, omdat MKD kinderen verwezen worden naar de school.</w:t>
      </w:r>
    </w:p>
    <w:p w:rsidR="0026036C" w:rsidRPr="0026036C" w:rsidRDefault="0026036C" w:rsidP="0026036C">
      <w:pPr>
        <w:jc w:val="both"/>
        <w:rPr>
          <w:rFonts w:ascii="Arial Narrow" w:eastAsia="Calibri" w:hAnsi="Arial Narrow" w:cs="Times New Roman"/>
          <w:sz w:val="22"/>
          <w:szCs w:val="22"/>
        </w:rPr>
      </w:pPr>
      <w:r w:rsidRPr="0026036C">
        <w:rPr>
          <w:rFonts w:ascii="Arial Narrow" w:eastAsia="Calibri" w:hAnsi="Arial Narrow" w:cs="Times New Roman"/>
          <w:sz w:val="22"/>
          <w:szCs w:val="22"/>
        </w:rPr>
        <w:t>Met de ambulante diensten van de REC’s van cluster 2, 3 en 4 wordt nauw samengewerkt, zelfs op de werkvloer.</w:t>
      </w:r>
    </w:p>
    <w:p w:rsidR="0026036C" w:rsidRPr="0026036C" w:rsidRDefault="0026036C" w:rsidP="0026036C">
      <w:pPr>
        <w:rPr>
          <w:rFonts w:ascii="Arial Narrow" w:eastAsia="Times New Roman" w:hAnsi="Arial Narrow" w:cs="Times New Roman"/>
          <w:b/>
          <w:bCs/>
          <w:sz w:val="22"/>
          <w:szCs w:val="22"/>
          <w:lang w:eastAsia="nl-NL"/>
        </w:rPr>
      </w:pPr>
    </w:p>
    <w:p w:rsidR="0026036C" w:rsidRPr="0026036C" w:rsidRDefault="0026036C" w:rsidP="0026036C">
      <w:pPr>
        <w:rPr>
          <w:rFonts w:ascii="Times New Roman" w:eastAsia="Times New Roman" w:hAnsi="Times New Roman" w:cs="Times New Roman"/>
          <w:b/>
          <w:bCs/>
          <w:sz w:val="22"/>
          <w:szCs w:val="22"/>
          <w:lang w:eastAsia="nl-NL"/>
        </w:rPr>
      </w:pPr>
    </w:p>
    <w:p w:rsidR="0026036C" w:rsidRPr="0026036C" w:rsidRDefault="0026036C" w:rsidP="0026036C">
      <w:pPr>
        <w:rPr>
          <w:rFonts w:ascii="Times New Roman" w:eastAsia="Times New Roman" w:hAnsi="Times New Roman" w:cs="Times New Roman"/>
          <w:b/>
          <w:bCs/>
          <w:sz w:val="22"/>
          <w:szCs w:val="22"/>
          <w:lang w:eastAsia="nl-NL"/>
        </w:rPr>
      </w:pPr>
    </w:p>
    <w:p w:rsidR="0026036C" w:rsidRPr="0026036C" w:rsidRDefault="0026036C" w:rsidP="0026036C">
      <w:pPr>
        <w:rPr>
          <w:rFonts w:ascii="Arial Narrow" w:eastAsia="Calibri" w:hAnsi="Arial Narrow" w:cs="Times New Roman"/>
          <w:sz w:val="22"/>
          <w:szCs w:val="22"/>
        </w:rPr>
      </w:pPr>
      <w:r w:rsidRPr="0026036C">
        <w:rPr>
          <w:rFonts w:ascii="Arial Narrow" w:eastAsia="Times New Roman" w:hAnsi="Arial Narrow" w:cs="Times New Roman"/>
          <w:b/>
          <w:bCs/>
          <w:sz w:val="22"/>
          <w:szCs w:val="22"/>
          <w:lang w:eastAsia="nl-NL"/>
        </w:rPr>
        <w:t>De samenvatting tbv het onderwijsprofiel van  De Knienenbult.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111"/>
        <w:gridCol w:w="3859"/>
      </w:tblGrid>
      <w:tr w:rsidR="0026036C" w:rsidRPr="0026036C" w:rsidTr="007D7F08">
        <w:tc>
          <w:tcPr>
            <w:tcW w:w="1418" w:type="dxa"/>
            <w:shd w:val="clear" w:color="auto" w:fill="auto"/>
          </w:tcPr>
          <w:p w:rsidR="0026036C" w:rsidRPr="0026036C" w:rsidRDefault="0026036C" w:rsidP="0026036C">
            <w:pPr>
              <w:jc w:val="both"/>
              <w:rPr>
                <w:rFonts w:ascii="Arial Narrow" w:eastAsia="Calibri" w:hAnsi="Arial Narrow" w:cs="Times New Roman"/>
                <w:b/>
                <w:sz w:val="22"/>
                <w:szCs w:val="22"/>
              </w:rPr>
            </w:pPr>
            <w:r w:rsidRPr="0026036C">
              <w:rPr>
                <w:rFonts w:ascii="Arial Narrow" w:eastAsia="Calibri" w:hAnsi="Arial Narrow" w:cs="Times New Roman"/>
                <w:b/>
                <w:sz w:val="22"/>
                <w:szCs w:val="22"/>
              </w:rPr>
              <w:t xml:space="preserve">Veld </w:t>
            </w:r>
          </w:p>
        </w:tc>
        <w:tc>
          <w:tcPr>
            <w:tcW w:w="4111" w:type="dxa"/>
            <w:shd w:val="clear" w:color="auto" w:fill="auto"/>
          </w:tcPr>
          <w:p w:rsidR="0026036C" w:rsidRPr="0026036C" w:rsidRDefault="0026036C" w:rsidP="0026036C">
            <w:pPr>
              <w:jc w:val="both"/>
              <w:rPr>
                <w:rFonts w:ascii="Arial Narrow" w:eastAsia="Calibri" w:hAnsi="Arial Narrow" w:cs="Times New Roman"/>
                <w:b/>
                <w:sz w:val="22"/>
                <w:szCs w:val="22"/>
              </w:rPr>
            </w:pPr>
            <w:r w:rsidRPr="0026036C">
              <w:rPr>
                <w:rFonts w:ascii="Arial Narrow" w:eastAsia="Calibri" w:hAnsi="Arial Narrow" w:cs="Times New Roman"/>
                <w:b/>
                <w:sz w:val="22"/>
                <w:szCs w:val="22"/>
              </w:rPr>
              <w:t>Setting binnen de unit</w:t>
            </w:r>
          </w:p>
        </w:tc>
        <w:tc>
          <w:tcPr>
            <w:tcW w:w="3859" w:type="dxa"/>
            <w:shd w:val="clear" w:color="auto" w:fill="auto"/>
          </w:tcPr>
          <w:p w:rsidR="0026036C" w:rsidRPr="0026036C" w:rsidRDefault="0026036C" w:rsidP="0026036C">
            <w:pPr>
              <w:jc w:val="both"/>
              <w:rPr>
                <w:rFonts w:ascii="Arial Narrow" w:eastAsia="Calibri" w:hAnsi="Arial Narrow" w:cs="Times New Roman"/>
                <w:b/>
                <w:sz w:val="22"/>
                <w:szCs w:val="22"/>
              </w:rPr>
            </w:pPr>
            <w:r w:rsidRPr="0026036C">
              <w:rPr>
                <w:rFonts w:ascii="Arial Narrow" w:eastAsia="Calibri" w:hAnsi="Arial Narrow" w:cs="Times New Roman"/>
                <w:b/>
                <w:sz w:val="22"/>
                <w:szCs w:val="22"/>
              </w:rPr>
              <w:t>Setting binnen de school</w:t>
            </w:r>
          </w:p>
        </w:tc>
      </w:tr>
      <w:tr w:rsidR="0026036C" w:rsidRPr="0026036C" w:rsidTr="007D7F08">
        <w:tc>
          <w:tcPr>
            <w:tcW w:w="1418"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1.Hoeveel-</w:t>
            </w:r>
          </w:p>
          <w:p w:rsidR="0026036C" w:rsidRPr="0026036C" w:rsidRDefault="0026036C" w:rsidP="0026036C">
            <w:pPr>
              <w:jc w:val="both"/>
              <w:rPr>
                <w:rFonts w:ascii="Arial Narrow" w:eastAsia="Calibri" w:hAnsi="Arial Narrow" w:cs="Times New Roman"/>
                <w:sz w:val="20"/>
                <w:szCs w:val="20"/>
              </w:rPr>
            </w:pPr>
            <w:proofErr w:type="spellStart"/>
            <w:r w:rsidRPr="0026036C">
              <w:rPr>
                <w:rFonts w:ascii="Arial Narrow" w:eastAsia="Calibri" w:hAnsi="Arial Narrow" w:cs="Times New Roman"/>
                <w:sz w:val="20"/>
                <w:szCs w:val="20"/>
              </w:rPr>
              <w:t>heid</w:t>
            </w:r>
            <w:proofErr w:type="spellEnd"/>
            <w:r w:rsidRPr="0026036C">
              <w:rPr>
                <w:rFonts w:ascii="Arial Narrow" w:eastAsia="Calibri" w:hAnsi="Arial Narrow" w:cs="Times New Roman"/>
                <w:sz w:val="20"/>
                <w:szCs w:val="20"/>
              </w:rPr>
              <w:t xml:space="preserve"> aandacht en tijd</w:t>
            </w:r>
          </w:p>
        </w:tc>
        <w:tc>
          <w:tcPr>
            <w:tcW w:w="4111"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Er zijn meerdere handen in de klas door leerkracht, onderwijsassistent, AB-er of pedagogisch medewerker, voor intensieve begeleiding, op permanente basis , gedurende de hele week.</w:t>
            </w:r>
          </w:p>
        </w:tc>
        <w:tc>
          <w:tcPr>
            <w:tcW w:w="3859"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 xml:space="preserve">Er is speciale onderwijszorg door vakleerkracht  en/of IB-er op permanente basis, gedurende de hele week. </w:t>
            </w:r>
          </w:p>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Er is speciale onderwijszorg door AB-ers of onderwijs assistenten , gedurende enkele dagen per week.</w:t>
            </w:r>
          </w:p>
        </w:tc>
      </w:tr>
      <w:tr w:rsidR="0026036C" w:rsidRPr="0026036C" w:rsidTr="007D7F08">
        <w:tc>
          <w:tcPr>
            <w:tcW w:w="1418"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 xml:space="preserve">2. Onderwijsmaterialen </w:t>
            </w:r>
          </w:p>
        </w:tc>
        <w:tc>
          <w:tcPr>
            <w:tcW w:w="4111"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Zorgleerlingen volgen de (individuele) leerlijnen, gebaseerd op de kerndoelen.</w:t>
            </w:r>
          </w:p>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Er zijn onderwijsmaterialen aanwezig met speciale didactische kernmerken, pedagogische/psychologische kenmerken, tegemoetkomend aan kind specifieke belemmeringen.</w:t>
            </w:r>
          </w:p>
        </w:tc>
        <w:tc>
          <w:tcPr>
            <w:tcW w:w="3859"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Er is een orthotheek met onderwijsmaterialen beschikbaar die tegemoet komen aan specifieke didactische kenmerken, speciale pedagogische /psychologische kenmerken en fysieke-/lichamelijke kernmerken. Er wordt door de hele school gewerkt met een speciaal  programma voor de sociaal-emotionele ontwikkeling (preventief).</w:t>
            </w:r>
          </w:p>
        </w:tc>
      </w:tr>
      <w:tr w:rsidR="0026036C" w:rsidRPr="0026036C" w:rsidTr="007D7F08">
        <w:trPr>
          <w:trHeight w:val="846"/>
        </w:trPr>
        <w:tc>
          <w:tcPr>
            <w:tcW w:w="1418"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Ruimtelijke omgeving</w:t>
            </w:r>
          </w:p>
        </w:tc>
        <w:tc>
          <w:tcPr>
            <w:tcW w:w="4111"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De lokalen zijn aangepast voor leerlingen met speciale bewegingsbehoeften. De lokalen zijn ruim bemeten.</w:t>
            </w:r>
          </w:p>
        </w:tc>
        <w:tc>
          <w:tcPr>
            <w:tcW w:w="3859"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Er zijn aparte ruimtes voor andere functies (</w:t>
            </w:r>
            <w:proofErr w:type="spellStart"/>
            <w:r w:rsidRPr="0026036C">
              <w:rPr>
                <w:rFonts w:ascii="Arial Narrow" w:eastAsia="Calibri" w:hAnsi="Arial Narrow" w:cs="Times New Roman"/>
                <w:sz w:val="20"/>
                <w:szCs w:val="20"/>
              </w:rPr>
              <w:t>bijv</w:t>
            </w:r>
            <w:proofErr w:type="spellEnd"/>
            <w:r w:rsidRPr="0026036C">
              <w:rPr>
                <w:rFonts w:ascii="Arial Narrow" w:eastAsia="Calibri" w:hAnsi="Arial Narrow" w:cs="Times New Roman"/>
                <w:sz w:val="20"/>
                <w:szCs w:val="20"/>
              </w:rPr>
              <w:t xml:space="preserve"> verzorging, therapie)</w:t>
            </w:r>
          </w:p>
        </w:tc>
      </w:tr>
      <w:tr w:rsidR="0026036C" w:rsidRPr="0026036C" w:rsidTr="007D7F08">
        <w:tc>
          <w:tcPr>
            <w:tcW w:w="1418"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 xml:space="preserve">Expertise </w:t>
            </w:r>
          </w:p>
        </w:tc>
        <w:tc>
          <w:tcPr>
            <w:tcW w:w="4111"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 xml:space="preserve">Leerkrachten zijn opgeleid tot experts op het gebied van speciale onderwijsbehoeften. Daartoe zijn scholing- en certificeringstrajecten gevolg. (akte SO 2X, master Sen 2x, MW 1x). Leerkrachten laten zich voortdurend bijscholen. Leerkrachten werken met het systeem van collegiale consultatie, co-teaching. </w:t>
            </w:r>
          </w:p>
        </w:tc>
        <w:tc>
          <w:tcPr>
            <w:tcW w:w="3859"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De kennis van en competenties op het gebied van specifieke onderwijs-behoeften van de zorgleerlingen worden breed gedragen door de leerkrachten.</w:t>
            </w:r>
          </w:p>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 xml:space="preserve">Experts vanuit meerdere disciplines met betrekking tot voorkomende stoornissen zijn snel beschikbaar voor de school. </w:t>
            </w:r>
          </w:p>
        </w:tc>
      </w:tr>
      <w:tr w:rsidR="0026036C" w:rsidRPr="0026036C" w:rsidTr="007D7F08">
        <w:tc>
          <w:tcPr>
            <w:tcW w:w="1418" w:type="dxa"/>
            <w:shd w:val="clear" w:color="auto" w:fill="auto"/>
          </w:tcPr>
          <w:p w:rsidR="0026036C" w:rsidRPr="0026036C" w:rsidRDefault="0026036C" w:rsidP="0026036C">
            <w:pPr>
              <w:jc w:val="both"/>
              <w:rPr>
                <w:rFonts w:ascii="Arial Narrow" w:eastAsia="Calibri" w:hAnsi="Arial Narrow" w:cs="Times New Roman"/>
                <w:sz w:val="20"/>
                <w:szCs w:val="20"/>
              </w:rPr>
            </w:pPr>
            <w:r w:rsidRPr="0026036C">
              <w:rPr>
                <w:rFonts w:ascii="Arial Narrow" w:eastAsia="Calibri" w:hAnsi="Arial Narrow" w:cs="Times New Roman"/>
                <w:sz w:val="20"/>
                <w:szCs w:val="20"/>
              </w:rPr>
              <w:t>Samenwerking met andere instanties</w:t>
            </w:r>
          </w:p>
        </w:tc>
        <w:tc>
          <w:tcPr>
            <w:tcW w:w="4111"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 xml:space="preserve">De IB-er en leerkracht werken intensief samen met professionals van externe instanties, benutten nieuwe wetenschappelijke inzichten en </w:t>
            </w:r>
            <w:proofErr w:type="spellStart"/>
            <w:r w:rsidRPr="0026036C">
              <w:rPr>
                <w:rFonts w:ascii="Arial Narrow" w:eastAsia="Calibri" w:hAnsi="Arial Narrow" w:cs="Times New Roman"/>
                <w:sz w:val="20"/>
                <w:szCs w:val="20"/>
              </w:rPr>
              <w:t>evidence</w:t>
            </w:r>
            <w:proofErr w:type="spellEnd"/>
            <w:r w:rsidRPr="0026036C">
              <w:rPr>
                <w:rFonts w:ascii="Arial Narrow" w:eastAsia="Calibri" w:hAnsi="Arial Narrow" w:cs="Times New Roman"/>
                <w:sz w:val="20"/>
                <w:szCs w:val="20"/>
              </w:rPr>
              <w:t xml:space="preserve"> </w:t>
            </w:r>
            <w:proofErr w:type="spellStart"/>
            <w:r w:rsidRPr="0026036C">
              <w:rPr>
                <w:rFonts w:ascii="Arial Narrow" w:eastAsia="Calibri" w:hAnsi="Arial Narrow" w:cs="Times New Roman"/>
                <w:sz w:val="20"/>
                <w:szCs w:val="20"/>
              </w:rPr>
              <w:t>based</w:t>
            </w:r>
            <w:proofErr w:type="spellEnd"/>
            <w:r w:rsidRPr="0026036C">
              <w:rPr>
                <w:rFonts w:ascii="Arial Narrow" w:eastAsia="Calibri" w:hAnsi="Arial Narrow" w:cs="Times New Roman"/>
                <w:sz w:val="20"/>
                <w:szCs w:val="20"/>
              </w:rPr>
              <w:t xml:space="preserve"> behandelingsmethoden.</w:t>
            </w:r>
          </w:p>
        </w:tc>
        <w:tc>
          <w:tcPr>
            <w:tcW w:w="3859" w:type="dxa"/>
            <w:shd w:val="clear" w:color="auto" w:fill="auto"/>
          </w:tcPr>
          <w:p w:rsidR="0026036C" w:rsidRPr="0026036C" w:rsidRDefault="0026036C" w:rsidP="0026036C">
            <w:pPr>
              <w:rPr>
                <w:rFonts w:ascii="Arial Narrow" w:eastAsia="Calibri" w:hAnsi="Arial Narrow" w:cs="Times New Roman"/>
                <w:sz w:val="20"/>
                <w:szCs w:val="20"/>
              </w:rPr>
            </w:pPr>
            <w:r w:rsidRPr="0026036C">
              <w:rPr>
                <w:rFonts w:ascii="Arial Narrow" w:eastAsia="Calibri" w:hAnsi="Arial Narrow" w:cs="Times New Roman"/>
                <w:sz w:val="20"/>
                <w:szCs w:val="20"/>
              </w:rPr>
              <w:t xml:space="preserve">Er is een structurele intensieve samenwerking en afstemming met SO en andere zorginstellingen voor alle zorg -leerlingen ( bijv. gezamenlijke bijdrage aan </w:t>
            </w:r>
            <w:proofErr w:type="spellStart"/>
            <w:r w:rsidRPr="0026036C">
              <w:rPr>
                <w:rFonts w:ascii="Arial Narrow" w:eastAsia="Calibri" w:hAnsi="Arial Narrow" w:cs="Times New Roman"/>
                <w:sz w:val="20"/>
                <w:szCs w:val="20"/>
              </w:rPr>
              <w:t>ihp</w:t>
            </w:r>
            <w:proofErr w:type="spellEnd"/>
            <w:r w:rsidRPr="0026036C">
              <w:rPr>
                <w:rFonts w:ascii="Arial Narrow" w:eastAsia="Calibri" w:hAnsi="Arial Narrow" w:cs="Times New Roman"/>
                <w:sz w:val="20"/>
                <w:szCs w:val="20"/>
              </w:rPr>
              <w:t>).Externe experts zijn op afroep beschikbaar (bijv. speltherapeut, wijkagent, schoolarts, leerplichtambtenaar. De school biedt, via Accent, aantrekkelijke (</w:t>
            </w:r>
            <w:proofErr w:type="spellStart"/>
            <w:r w:rsidRPr="0026036C">
              <w:rPr>
                <w:rFonts w:ascii="Arial Narrow" w:eastAsia="Calibri" w:hAnsi="Arial Narrow" w:cs="Times New Roman"/>
                <w:sz w:val="20"/>
                <w:szCs w:val="20"/>
              </w:rPr>
              <w:t>opvoedings</w:t>
            </w:r>
            <w:proofErr w:type="spellEnd"/>
            <w:r w:rsidRPr="0026036C">
              <w:rPr>
                <w:rFonts w:ascii="Arial Narrow" w:eastAsia="Calibri" w:hAnsi="Arial Narrow" w:cs="Times New Roman"/>
                <w:sz w:val="20"/>
                <w:szCs w:val="20"/>
              </w:rPr>
              <w:t>)cursussen aan voor ouders.</w:t>
            </w:r>
          </w:p>
        </w:tc>
      </w:tr>
    </w:tbl>
    <w:p w:rsidR="0026036C" w:rsidRPr="0026036C" w:rsidRDefault="0026036C" w:rsidP="0026036C">
      <w:pPr>
        <w:jc w:val="both"/>
        <w:rPr>
          <w:rFonts w:ascii="Arial Narrow" w:eastAsia="Calibri" w:hAnsi="Arial Narrow" w:cs="Times New Roman"/>
          <w:sz w:val="22"/>
          <w:szCs w:val="22"/>
        </w:rPr>
      </w:pPr>
    </w:p>
    <w:tbl>
      <w:tblPr>
        <w:tblW w:w="3411" w:type="pct"/>
        <w:tblCellSpacing w:w="0" w:type="dxa"/>
        <w:tblCellMar>
          <w:top w:w="15" w:type="dxa"/>
          <w:left w:w="15" w:type="dxa"/>
          <w:bottom w:w="15" w:type="dxa"/>
          <w:right w:w="15" w:type="dxa"/>
        </w:tblCellMar>
        <w:tblLook w:val="04A0" w:firstRow="1" w:lastRow="0" w:firstColumn="1" w:lastColumn="0" w:noHBand="0" w:noVBand="1"/>
      </w:tblPr>
      <w:tblGrid>
        <w:gridCol w:w="6209"/>
      </w:tblGrid>
      <w:tr w:rsidR="0026036C" w:rsidRPr="0026036C" w:rsidTr="007D7F08">
        <w:trPr>
          <w:tblCellSpacing w:w="0" w:type="dxa"/>
        </w:trPr>
        <w:tc>
          <w:tcPr>
            <w:tcW w:w="6209" w:type="dxa"/>
            <w:vAlign w:val="center"/>
            <w:hideMark/>
          </w:tcPr>
          <w:p w:rsidR="0026036C" w:rsidRPr="0026036C" w:rsidRDefault="0026036C" w:rsidP="0026036C">
            <w:pPr>
              <w:rPr>
                <w:rFonts w:ascii="Arial Narrow" w:eastAsia="Times New Roman" w:hAnsi="Arial Narrow" w:cs="Tahoma"/>
                <w:b/>
                <w:bCs/>
                <w:color w:val="333333"/>
                <w:sz w:val="15"/>
                <w:szCs w:val="15"/>
                <w:lang w:eastAsia="nl-NL"/>
              </w:rPr>
            </w:pPr>
          </w:p>
        </w:tc>
      </w:tr>
    </w:tbl>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p>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p>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p>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p>
    <w:p w:rsidR="0026036C" w:rsidRPr="0026036C" w:rsidRDefault="0026036C" w:rsidP="0026036C">
      <w:pPr>
        <w:tabs>
          <w:tab w:val="left" w:pos="-1440"/>
          <w:tab w:val="left" w:pos="-720"/>
        </w:tabs>
        <w:jc w:val="both"/>
        <w:rPr>
          <w:rFonts w:ascii="Arial Narrow" w:eastAsia="Times New Roman" w:hAnsi="Arial Narrow" w:cs="Times New Roman"/>
          <w:b/>
          <w:bCs/>
          <w:spacing w:val="-3"/>
          <w:sz w:val="28"/>
          <w:szCs w:val="28"/>
          <w:lang w:eastAsia="nl-NL"/>
        </w:rPr>
      </w:pPr>
    </w:p>
    <w:p w:rsidR="00FC3410" w:rsidRDefault="00FC3410" w:rsidP="0026036C">
      <w:bookmarkStart w:id="0" w:name="_GoBack"/>
      <w:bookmarkEnd w:id="0"/>
    </w:p>
    <w:sectPr w:rsidR="00FC3410" w:rsidSect="00FC3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1616"/>
    <w:multiLevelType w:val="hybridMultilevel"/>
    <w:tmpl w:val="F104E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6C"/>
    <w:rsid w:val="0026036C"/>
    <w:rsid w:val="00387359"/>
    <w:rsid w:val="008B501B"/>
    <w:rsid w:val="00E943FA"/>
    <w:rsid w:val="00FC341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35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7359"/>
    <w:rPr>
      <w:rFonts w:ascii="Arial" w:eastAsia="Times New Roman" w:hAnsi="Arial" w:cs="Times New Roman"/>
    </w:rPr>
  </w:style>
  <w:style w:type="paragraph" w:styleId="Lijstalinea">
    <w:name w:val="List Paragraph"/>
    <w:basedOn w:val="Standaard"/>
    <w:uiPriority w:val="34"/>
    <w:qFormat/>
    <w:rsid w:val="00387359"/>
    <w:pPr>
      <w:ind w:left="720"/>
      <w:contextualSpacing/>
    </w:pPr>
    <w:rPr>
      <w:rFonts w:eastAsia="Times New Roman" w:cs="Times New Roman"/>
    </w:rPr>
  </w:style>
  <w:style w:type="paragraph" w:styleId="Ballontekst">
    <w:name w:val="Balloon Text"/>
    <w:basedOn w:val="Standaard"/>
    <w:link w:val="BallontekstChar"/>
    <w:uiPriority w:val="99"/>
    <w:semiHidden/>
    <w:unhideWhenUsed/>
    <w:rsid w:val="00260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35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7359"/>
    <w:rPr>
      <w:rFonts w:ascii="Arial" w:eastAsia="Times New Roman" w:hAnsi="Arial" w:cs="Times New Roman"/>
    </w:rPr>
  </w:style>
  <w:style w:type="paragraph" w:styleId="Lijstalinea">
    <w:name w:val="List Paragraph"/>
    <w:basedOn w:val="Standaard"/>
    <w:uiPriority w:val="34"/>
    <w:qFormat/>
    <w:rsid w:val="00387359"/>
    <w:pPr>
      <w:ind w:left="720"/>
      <w:contextualSpacing/>
    </w:pPr>
    <w:rPr>
      <w:rFonts w:eastAsia="Times New Roman" w:cs="Times New Roman"/>
    </w:rPr>
  </w:style>
  <w:style w:type="paragraph" w:styleId="Ballontekst">
    <w:name w:val="Balloon Text"/>
    <w:basedOn w:val="Standaard"/>
    <w:link w:val="BallontekstChar"/>
    <w:uiPriority w:val="99"/>
    <w:semiHidden/>
    <w:unhideWhenUsed/>
    <w:rsid w:val="00260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66727636</Template>
  <TotalTime>1</TotalTime>
  <Pages>3</Pages>
  <Words>1732</Words>
  <Characters>9527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Hupkes</dc:creator>
  <cp:lastModifiedBy>Eveline Hupkes</cp:lastModifiedBy>
  <cp:revision>1</cp:revision>
  <dcterms:created xsi:type="dcterms:W3CDTF">2015-10-14T10:31:00Z</dcterms:created>
  <dcterms:modified xsi:type="dcterms:W3CDTF">2015-10-14T10:32:00Z</dcterms:modified>
</cp:coreProperties>
</file>