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A9" w:rsidRPr="004E6943" w:rsidRDefault="00A314A9" w:rsidP="00A314A9">
      <w:pPr>
        <w:autoSpaceDE w:val="0"/>
        <w:autoSpaceDN w:val="0"/>
        <w:adjustRightInd w:val="0"/>
        <w:spacing w:line="276" w:lineRule="auto"/>
        <w:rPr>
          <w:rFonts w:ascii="Century Gothic" w:eastAsia="Calibri" w:hAnsi="Century Gothic"/>
          <w:b/>
          <w:color w:val="00B0F0"/>
          <w:sz w:val="32"/>
          <w:szCs w:val="32"/>
        </w:rPr>
      </w:pPr>
      <w:bookmarkStart w:id="0" w:name="_GoBack"/>
      <w:bookmarkEnd w:id="0"/>
      <w:r w:rsidRPr="004E6943">
        <w:rPr>
          <w:rFonts w:ascii="Century Gothic" w:eastAsia="Calibri" w:hAnsi="Century Gothic"/>
          <w:b/>
          <w:color w:val="00B0F0"/>
          <w:sz w:val="32"/>
          <w:szCs w:val="32"/>
        </w:rPr>
        <w:t>Protocol medische handelingen</w:t>
      </w:r>
    </w:p>
    <w:p w:rsidR="00A314A9" w:rsidRPr="00DA150B" w:rsidRDefault="00A314A9" w:rsidP="00A314A9">
      <w:pPr>
        <w:spacing w:line="276" w:lineRule="auto"/>
        <w:rPr>
          <w:rFonts w:ascii="Century Gothic" w:eastAsia="Calibri" w:hAnsi="Century Gothic"/>
          <w:b/>
          <w:sz w:val="20"/>
          <w:szCs w:val="20"/>
        </w:rPr>
      </w:pPr>
      <w:r w:rsidRPr="00DA150B">
        <w:rPr>
          <w:rFonts w:ascii="Century Gothic" w:eastAsia="Calibri" w:hAnsi="Century Gothic"/>
          <w:b/>
          <w:sz w:val="20"/>
          <w:szCs w:val="20"/>
        </w:rPr>
        <w:t>Inleiding:</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Steeds meer kinderen gebruiken medicatie. Wij als school kunnen het verzoek krijgen van ouder(s) / verzorger(s) om hun kind(eren) een door een arts voorgeschreven medicijn toe te dienen. Soms vraagt een kind een paracetamolletje. Aan het verstrekken en toedienen van medicijnen zijn risico’s verbonden. In dit protocol hebben we weergegeven hoe wij als school handelen in bepaalde situaties. Voor de leesbaarheid van dit stuk zullen hierna spreken over ouders wanneer wij ouder(s) en verzorger(s) bedoelen. </w:t>
      </w:r>
    </w:p>
    <w:p w:rsidR="00A314A9" w:rsidRPr="004E6943" w:rsidRDefault="00A314A9" w:rsidP="00A314A9">
      <w:pPr>
        <w:spacing w:line="276" w:lineRule="auto"/>
        <w:rPr>
          <w:rFonts w:ascii="Century Gothic" w:eastAsia="Calibri" w:hAnsi="Century Gothic"/>
          <w:b/>
          <w:sz w:val="20"/>
          <w:szCs w:val="20"/>
        </w:rPr>
      </w:pPr>
    </w:p>
    <w:p w:rsidR="00A314A9" w:rsidRPr="004E6943" w:rsidRDefault="00A314A9" w:rsidP="00A314A9">
      <w:pPr>
        <w:spacing w:line="276" w:lineRule="auto"/>
        <w:rPr>
          <w:rFonts w:ascii="Century Gothic" w:eastAsia="Calibri" w:hAnsi="Century Gothic"/>
          <w:color w:val="FF0000"/>
          <w:sz w:val="20"/>
          <w:szCs w:val="20"/>
        </w:rPr>
      </w:pPr>
      <w:r w:rsidRPr="004E6943">
        <w:rPr>
          <w:rFonts w:ascii="Century Gothic" w:eastAsia="Calibri" w:hAnsi="Century Gothic"/>
          <w:b/>
          <w:sz w:val="20"/>
          <w:szCs w:val="20"/>
        </w:rPr>
        <w:t>In dit protocol onderscheiden we 4 situaties:</w:t>
      </w:r>
    </w:p>
    <w:p w:rsidR="00A314A9" w:rsidRPr="004E6943" w:rsidRDefault="00A314A9" w:rsidP="00A314A9">
      <w:pPr>
        <w:numPr>
          <w:ilvl w:val="0"/>
          <w:numId w:val="3"/>
        </w:numPr>
        <w:spacing w:line="276" w:lineRule="auto"/>
        <w:contextualSpacing/>
        <w:rPr>
          <w:rFonts w:ascii="Century Gothic" w:eastAsia="Calibri" w:hAnsi="Century Gothic"/>
          <w:sz w:val="20"/>
          <w:szCs w:val="20"/>
        </w:rPr>
      </w:pPr>
      <w:r w:rsidRPr="004E6943">
        <w:rPr>
          <w:rFonts w:ascii="Century Gothic" w:eastAsia="Calibri" w:hAnsi="Century Gothic"/>
          <w:sz w:val="20"/>
          <w:szCs w:val="20"/>
        </w:rPr>
        <w:t>Bij ziek worden op school</w:t>
      </w:r>
    </w:p>
    <w:p w:rsidR="00A314A9" w:rsidRPr="004E6943" w:rsidRDefault="00A314A9" w:rsidP="00A314A9">
      <w:pPr>
        <w:numPr>
          <w:ilvl w:val="0"/>
          <w:numId w:val="3"/>
        </w:numPr>
        <w:spacing w:line="276" w:lineRule="auto"/>
        <w:contextualSpacing/>
        <w:rPr>
          <w:rFonts w:ascii="Century Gothic" w:eastAsia="Calibri" w:hAnsi="Century Gothic"/>
          <w:sz w:val="20"/>
          <w:szCs w:val="20"/>
        </w:rPr>
      </w:pPr>
      <w:r w:rsidRPr="004E6943">
        <w:rPr>
          <w:rFonts w:ascii="Century Gothic" w:eastAsia="Calibri" w:hAnsi="Century Gothic"/>
          <w:sz w:val="20"/>
          <w:szCs w:val="20"/>
        </w:rPr>
        <w:t>Bij medicijnverstrekking / - toediening op verzoek</w:t>
      </w:r>
    </w:p>
    <w:p w:rsidR="00A314A9" w:rsidRPr="004E6943" w:rsidRDefault="00A314A9" w:rsidP="00A314A9">
      <w:pPr>
        <w:numPr>
          <w:ilvl w:val="0"/>
          <w:numId w:val="3"/>
        </w:numPr>
        <w:spacing w:line="276" w:lineRule="auto"/>
        <w:contextualSpacing/>
        <w:rPr>
          <w:rFonts w:ascii="Century Gothic" w:eastAsia="Calibri" w:hAnsi="Century Gothic"/>
          <w:sz w:val="20"/>
          <w:szCs w:val="20"/>
        </w:rPr>
      </w:pPr>
      <w:r w:rsidRPr="004E6943">
        <w:rPr>
          <w:rFonts w:ascii="Century Gothic" w:eastAsia="Calibri" w:hAnsi="Century Gothic"/>
          <w:sz w:val="20"/>
          <w:szCs w:val="20"/>
        </w:rPr>
        <w:t>Bij het uitvoeren van medische handelingen op verzoek</w:t>
      </w:r>
    </w:p>
    <w:p w:rsidR="00A314A9" w:rsidRPr="004E6943" w:rsidRDefault="00A314A9" w:rsidP="00A314A9">
      <w:pPr>
        <w:numPr>
          <w:ilvl w:val="0"/>
          <w:numId w:val="3"/>
        </w:numPr>
        <w:spacing w:line="276" w:lineRule="auto"/>
        <w:contextualSpacing/>
        <w:rPr>
          <w:rFonts w:ascii="Century Gothic" w:eastAsia="Calibri" w:hAnsi="Century Gothic"/>
          <w:sz w:val="20"/>
          <w:szCs w:val="20"/>
        </w:rPr>
      </w:pPr>
      <w:r w:rsidRPr="004E6943">
        <w:rPr>
          <w:rFonts w:ascii="Century Gothic" w:eastAsia="Calibri" w:hAnsi="Century Gothic"/>
          <w:sz w:val="20"/>
          <w:szCs w:val="20"/>
        </w:rPr>
        <w:t>Bij calamiteiten</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contextualSpacing/>
        <w:rPr>
          <w:rFonts w:ascii="Century Gothic" w:eastAsia="Calibri" w:hAnsi="Century Gothic"/>
          <w:b/>
          <w:sz w:val="20"/>
          <w:szCs w:val="20"/>
        </w:rPr>
      </w:pPr>
      <w:r>
        <w:rPr>
          <w:rFonts w:ascii="Century Gothic" w:eastAsia="Calibri" w:hAnsi="Century Gothic"/>
          <w:b/>
          <w:sz w:val="20"/>
          <w:szCs w:val="20"/>
        </w:rPr>
        <w:t>Bij ziek worden op school:</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Het kan voorkomen dat een kind ’s morgens gezond op school komt en tijdens de schooluren last krijgt van hoofd-, buik- of oorpijn. Ook kan het bijvoorbeeld door een insect geprikt worden. We nemen terughoudendheid in acht bij de toediening van een pijnstiller. Uitgangspunt moet zijn dat een kind dat ziek is, naar huis moet. De leerkracht zal, in geval van ziekte, altijd contact op moeten nemen met de ouders om te overleggen wat er moet gebeuren (Is er iemand thuis die het kind kan komen ophalen, moet het naar de huisarts, etc. ?)</w:t>
      </w:r>
      <w:r>
        <w:rPr>
          <w:rFonts w:ascii="Century Gothic" w:eastAsia="Calibri" w:hAnsi="Century Gothic"/>
          <w:sz w:val="20"/>
          <w:szCs w:val="20"/>
        </w:rPr>
        <w:t xml:space="preserve"> </w:t>
      </w:r>
      <w:r w:rsidRPr="004E6943">
        <w:rPr>
          <w:rFonts w:ascii="Century Gothic" w:eastAsia="Calibri" w:hAnsi="Century Gothic"/>
          <w:sz w:val="20"/>
          <w:szCs w:val="20"/>
        </w:rPr>
        <w:t xml:space="preserve">Ook wanneer een leerkracht  in schat dat het kind bij een eenvoudig middel gebaat is, dan is het gewenst om altijd eerst contact te zoeken met ouders. Indien mogelijk zal een kind zelf met de ouders te laten overleggen.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Lastiger is het wanneer de ouders en andere, door de ouders aangewezen vertegenwoordigers, niet te bereiken zijn. We verzamelen elk schooljaar meerdere telefoonnummers per kind (‘noodnummers’). Het kind kan niet naar huis gestuurd worden zonder dat daar toezicht is. Ook verstrekken we in principe  geen medicijnen zonder  toestemming van de ouders. De leerkracht kan dan besluiten, eventueel na overleg met een BHV-gecertificeerde collega, om zelf een eenvoudig middel te geven. Daarnaast moet hij inschatten (of overleggen)of er niet alsnog een (huis)arts geraadpleegd moet worden. Na het geven / toedienen van een eenvoudig middel, blijft het zaak het kind voortdurend te observeren. Iedere situatie is anders  zodat niet alle signalen benoemd kunnen worden in dit protocol.  Belangrijk om op te letten, is:</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 Toename van pijn. </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Misselijkheid.</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 Verandering van houding (bijvoorbeeld in elkaar krimpen). </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Verandering van de huid (bijvoorbeeld erg bleke of hoogrode kleur).</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 Verandering van gedrag (bijvoorbeeld onrust, afnemen van alertheid). </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  We nemen hierbij een grote zorgvuldigheid in acht.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contextualSpacing/>
        <w:rPr>
          <w:rFonts w:ascii="Century Gothic" w:eastAsia="Calibri" w:hAnsi="Century Gothic"/>
          <w:b/>
          <w:sz w:val="20"/>
          <w:szCs w:val="20"/>
        </w:rPr>
      </w:pPr>
      <w:r w:rsidRPr="004E6943">
        <w:rPr>
          <w:rFonts w:ascii="Century Gothic" w:eastAsia="Calibri" w:hAnsi="Century Gothic"/>
          <w:b/>
          <w:sz w:val="20"/>
          <w:szCs w:val="20"/>
        </w:rPr>
        <w:t>Bij medicijnverstre</w:t>
      </w:r>
      <w:r>
        <w:rPr>
          <w:rFonts w:ascii="Century Gothic" w:eastAsia="Calibri" w:hAnsi="Century Gothic"/>
          <w:b/>
          <w:sz w:val="20"/>
          <w:szCs w:val="20"/>
        </w:rPr>
        <w:t>kking of -toediening op verzoek:</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Kinderen krijgen soms medicijnen of andere middelen voorgeschreven die zij een aantal malen per dag moeten gebruiken, dus ook tijdens schooluren. Te denken valt bijvoorbeeld aan pufjes voor astma, antibiotica of pilletjes. Ouders kunnen aan ons vragen om een medicijn te verstrekken en / of toe te dienen aan hun kind. </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lastRenderedPageBreak/>
        <w:t xml:space="preserve">Het is van belang de toestemming schriftelijk vast te leggen. Het kan gaan om eenvoudige middelen, maar ook om middelen die bij onjuist gebruik tot schade van de gezondheid van het kind kunnen leiden. Bijlage 1 geeft het ‘toestemmingsformulier toedienen van medicatie’ weer, dat in door de ouder en leerkracht ingevuld wordt wanneer het verzoek van medicijnverstrekking en/ of -toediening zich voordoet. Ouders geven hierdoor duidelijk aan wat zij van de leerkracht verwachten en die weten op hun beurt weer precies wat ze moeten doen.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Wanneer het gaat om het verstrekken van medicijnen gedurende een lange periode moet regelmatig met ouders overlegd worden over de ziekte en het daarbij behorende medicijn gebruik op school. Een goed moment om te overleggen is wanneer ouders een nieuwe voorraad medicijnen komen brengen. Enkele praktische adviezen:</w:t>
      </w:r>
    </w:p>
    <w:p w:rsidR="00A314A9" w:rsidRPr="004E6943" w:rsidRDefault="00A314A9" w:rsidP="00A314A9">
      <w:pPr>
        <w:numPr>
          <w:ilvl w:val="0"/>
          <w:numId w:val="1"/>
        </w:num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Laat ouders een nieuw geneesmiddel / zelfzorgmiddel altijd eerst thuis gebruiken. </w:t>
      </w:r>
    </w:p>
    <w:p w:rsidR="00A314A9" w:rsidRPr="004E6943" w:rsidRDefault="00A314A9" w:rsidP="00A314A9">
      <w:pPr>
        <w:numPr>
          <w:ilvl w:val="0"/>
          <w:numId w:val="1"/>
        </w:num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Neem de medicijnen alleen in ontvangst wanneer ze in de originele verpakking zitten en uitgeschreven zijn op naam van het betreffende kind. </w:t>
      </w:r>
    </w:p>
    <w:p w:rsidR="00A314A9" w:rsidRPr="004E6943" w:rsidRDefault="00A314A9" w:rsidP="00A314A9">
      <w:pPr>
        <w:numPr>
          <w:ilvl w:val="0"/>
          <w:numId w:val="2"/>
        </w:num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Lees goed de bijsluiter of informeer bij de ouder zodat u op de hoogte bent van eventuele bijwerkingen van het medicijn. </w:t>
      </w:r>
    </w:p>
    <w:p w:rsidR="00A314A9" w:rsidRPr="004E6943" w:rsidRDefault="00A314A9" w:rsidP="00A314A9">
      <w:pPr>
        <w:numPr>
          <w:ilvl w:val="0"/>
          <w:numId w:val="2"/>
        </w:num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Noteer, per keer, op een aftekenlijst dat u het medicijn aan het betreffende kind gegeven heeft.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Mocht de situatie zich voordoen dat een kind niet goed op een medicijn reageert of dat er onverhoopt toch een fout gemaakt wordt bij de toediening van een medicijn bel dan direct met de ouder (of eventueel arts). Bel bij een ernstige situatie direct het landelijk alarmnummer 112. Zorg in alle gevallen dat u duidelijk alle relevante gegevens bij de hand hebt, zoals: naam, geboortedatum, adres, huisarts en/of specialist van het kind, het medicijn dat is toegediend, welke reacties het kind vertoont (eventueel welke fout is gemaakt).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contextualSpacing/>
        <w:rPr>
          <w:rFonts w:ascii="Century Gothic" w:eastAsia="Calibri" w:hAnsi="Century Gothic"/>
          <w:b/>
          <w:sz w:val="20"/>
          <w:szCs w:val="20"/>
        </w:rPr>
      </w:pPr>
      <w:r w:rsidRPr="004E6943">
        <w:rPr>
          <w:rFonts w:ascii="Century Gothic" w:eastAsia="Calibri" w:hAnsi="Century Gothic"/>
          <w:b/>
          <w:sz w:val="20"/>
          <w:szCs w:val="20"/>
        </w:rPr>
        <w:t>Bij het uitvoeren van medisch</w:t>
      </w:r>
      <w:r>
        <w:rPr>
          <w:rFonts w:ascii="Century Gothic" w:eastAsia="Calibri" w:hAnsi="Century Gothic"/>
          <w:b/>
          <w:sz w:val="20"/>
          <w:szCs w:val="20"/>
        </w:rPr>
        <w:t>e handelingen op verzoek:</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Het is van groot belang dat een langdurig ziek kind of een kind met een bepaalde belemmering zoveel mogelijk gewoon naar school gaat. Het kind heeft contact met leeftijdsgenootjes, neemt deel aan het normale lezen van een schoolkind en wordt daardoor niet de hele dat herinnerd aan zijn handicap of ziek zijn. In hoog uitzonderlijke gevallen zullen ouders aan schoolleiding en leraren vragen handelingen te verrichten die vallen onder medisch handelen. Te denken valt daarbij aan het geven van sondevoeding, het meten van de bloedsuikerspiegel bij suikerpatiënten of d.m.v.  een vingerprikje.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Ten einde onnodige (aansprakelijkheids-)risico’s te voorkomen bepaalt de school uitdrukkelijk dat het verrichten van voorbehouden medische handelingen (zoals het geven van een injectie) binnen de school niet plaatsvindt. Het verrichten van dergelijke handelingen blijft te allen tijde een verantwoordelijkheid van de ouders . Er kan ook gedacht worden aan het inschakelen van de thuiszorg.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Wanneer een dergelijke situatie zich voordoet, gaan we tijdens een gesprek met de ouders de mogelijke opties na.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contextualSpacing/>
        <w:rPr>
          <w:rFonts w:ascii="Century Gothic" w:eastAsia="Calibri" w:hAnsi="Century Gothic"/>
          <w:b/>
          <w:sz w:val="20"/>
          <w:szCs w:val="20"/>
        </w:rPr>
      </w:pPr>
      <w:r>
        <w:rPr>
          <w:rFonts w:ascii="Century Gothic" w:eastAsia="Calibri" w:hAnsi="Century Gothic"/>
          <w:b/>
          <w:sz w:val="20"/>
          <w:szCs w:val="20"/>
        </w:rPr>
        <w:t>Bij calamiteiten:</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Wanneer er sprake is van een calamiteit, stellen we het ontruimingsplan in werking. </w:t>
      </w:r>
    </w:p>
    <w:p w:rsidR="00A314A9"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Het ontruimingsplan is in iedere klas aanwezig en alle leerkrachten en ondersteunend personeel zijn hiervan op de hoogte. </w:t>
      </w:r>
    </w:p>
    <w:p w:rsidR="00A314A9" w:rsidRPr="00C94D7B" w:rsidRDefault="00A314A9" w:rsidP="00A314A9">
      <w:pPr>
        <w:spacing w:line="276" w:lineRule="auto"/>
        <w:rPr>
          <w:rFonts w:ascii="Century Gothic" w:eastAsia="Calibri" w:hAnsi="Century Gothic"/>
          <w:sz w:val="20"/>
          <w:szCs w:val="20"/>
        </w:rPr>
      </w:pPr>
      <w:r w:rsidRPr="004E6943">
        <w:rPr>
          <w:rFonts w:ascii="Century Gothic" w:hAnsi="Century Gothic"/>
          <w:noProof/>
          <w:sz w:val="20"/>
          <w:szCs w:val="20"/>
        </w:rPr>
        <w:lastRenderedPageBreak/>
        <mc:AlternateContent>
          <mc:Choice Requires="wps">
            <w:drawing>
              <wp:anchor distT="4294967295" distB="4294967295" distL="114300" distR="114300" simplePos="0" relativeHeight="251659264" behindDoc="0" locked="0" layoutInCell="1" allowOverlap="1">
                <wp:simplePos x="0" y="0"/>
                <wp:positionH relativeFrom="column">
                  <wp:posOffset>13970</wp:posOffset>
                </wp:positionH>
                <wp:positionV relativeFrom="paragraph">
                  <wp:posOffset>841374</wp:posOffset>
                </wp:positionV>
                <wp:extent cx="5760720" cy="0"/>
                <wp:effectExtent l="0" t="0" r="30480" b="1905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7922" id="Rechte verbindingslijn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6.25pt" to="454.7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DfHwIAADo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"/>
            </w:pict>
          </mc:Fallback>
        </mc:AlternateContent>
      </w:r>
      <w:r w:rsidRPr="004E6943">
        <w:rPr>
          <w:rFonts w:ascii="Century Gothic" w:eastAsia="Calibri" w:hAnsi="Century Gothic"/>
          <w:b/>
          <w:sz w:val="20"/>
          <w:szCs w:val="20"/>
        </w:rPr>
        <w:t>Toestemmingsformulier toedienen van medicati</w:t>
      </w:r>
      <w:r>
        <w:rPr>
          <w:rFonts w:ascii="Century Gothic" w:eastAsia="Calibri" w:hAnsi="Century Gothic"/>
          <w:b/>
          <w:sz w:val="20"/>
          <w:szCs w:val="20"/>
        </w:rPr>
        <w:t>e</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Datum:……………………………..</w:t>
      </w: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Plaats: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Naam leerling: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Naam ouder / verzorger: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Ouder / verzorger is bereikbaar via: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Handtekening ouder / verzorger: ………………………………………………………………………………………….</w:t>
      </w:r>
    </w:p>
    <w:p w:rsidR="00A314A9" w:rsidRPr="004E6943" w:rsidRDefault="00A314A9" w:rsidP="00A314A9">
      <w:pPr>
        <w:spacing w:line="276" w:lineRule="auto"/>
        <w:rPr>
          <w:rFonts w:ascii="Century Gothic" w:eastAsia="Calibri"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728"/>
      </w:tblGrid>
      <w:tr w:rsidR="00A314A9" w:rsidRPr="004E6943" w:rsidTr="00821EE6">
        <w:trPr>
          <w:trHeight w:val="570"/>
        </w:trPr>
        <w:tc>
          <w:tcPr>
            <w:tcW w:w="2394" w:type="dxa"/>
            <w:shd w:val="clear" w:color="auto" w:fill="auto"/>
          </w:tcPr>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Naam medicijn</w:t>
            </w:r>
          </w:p>
        </w:tc>
        <w:tc>
          <w:tcPr>
            <w:tcW w:w="6894" w:type="dxa"/>
            <w:shd w:val="clear" w:color="auto" w:fill="auto"/>
          </w:tcPr>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p>
        </w:tc>
      </w:tr>
      <w:tr w:rsidR="00A314A9" w:rsidRPr="004E6943" w:rsidTr="00821EE6">
        <w:tc>
          <w:tcPr>
            <w:tcW w:w="2394" w:type="dxa"/>
            <w:shd w:val="clear" w:color="auto" w:fill="auto"/>
          </w:tcPr>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Dosering</w:t>
            </w:r>
          </w:p>
        </w:tc>
        <w:tc>
          <w:tcPr>
            <w:tcW w:w="6894" w:type="dxa"/>
            <w:shd w:val="clear" w:color="auto" w:fill="auto"/>
          </w:tcPr>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p>
        </w:tc>
      </w:tr>
      <w:tr w:rsidR="00A314A9" w:rsidRPr="004E6943" w:rsidTr="00821EE6">
        <w:tc>
          <w:tcPr>
            <w:tcW w:w="2394" w:type="dxa"/>
            <w:shd w:val="clear" w:color="auto" w:fill="auto"/>
          </w:tcPr>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Tijdstip </w:t>
            </w:r>
          </w:p>
        </w:tc>
        <w:tc>
          <w:tcPr>
            <w:tcW w:w="6894" w:type="dxa"/>
            <w:shd w:val="clear" w:color="auto" w:fill="auto"/>
          </w:tcPr>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p>
        </w:tc>
      </w:tr>
      <w:tr w:rsidR="00A314A9" w:rsidRPr="004E6943" w:rsidTr="00821EE6">
        <w:tc>
          <w:tcPr>
            <w:tcW w:w="2394" w:type="dxa"/>
            <w:shd w:val="clear" w:color="auto" w:fill="auto"/>
          </w:tcPr>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Dag </w:t>
            </w:r>
          </w:p>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Periode</w:t>
            </w:r>
          </w:p>
        </w:tc>
        <w:tc>
          <w:tcPr>
            <w:tcW w:w="6894" w:type="dxa"/>
            <w:shd w:val="clear" w:color="auto" w:fill="auto"/>
          </w:tcPr>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Op: ………………………………………………. (1 dag)</w:t>
            </w:r>
          </w:p>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Van: ….. - ….. – 20….     tot en met ….. - ….. – 20….</w:t>
            </w:r>
          </w:p>
        </w:tc>
      </w:tr>
      <w:tr w:rsidR="00A314A9" w:rsidRPr="004E6943" w:rsidTr="00821EE6">
        <w:tc>
          <w:tcPr>
            <w:tcW w:w="2394" w:type="dxa"/>
            <w:shd w:val="clear" w:color="auto" w:fill="auto"/>
          </w:tcPr>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Wijze van toedienen</w:t>
            </w:r>
          </w:p>
        </w:tc>
        <w:tc>
          <w:tcPr>
            <w:tcW w:w="6894" w:type="dxa"/>
            <w:shd w:val="clear" w:color="auto" w:fill="auto"/>
          </w:tcPr>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Via mond / neus / oog /oor/ huid / </w:t>
            </w:r>
          </w:p>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w:t>
            </w:r>
          </w:p>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Wanneer een medicijn anaal toegediend dient te worden, vragen we ouders hiervoor naar school te komen. </w:t>
            </w:r>
          </w:p>
        </w:tc>
      </w:tr>
      <w:tr w:rsidR="00A314A9" w:rsidRPr="004E6943" w:rsidTr="00821EE6">
        <w:tc>
          <w:tcPr>
            <w:tcW w:w="2394" w:type="dxa"/>
            <w:shd w:val="clear" w:color="auto" w:fill="auto"/>
          </w:tcPr>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Bewaarplaats medicijn</w:t>
            </w:r>
          </w:p>
        </w:tc>
        <w:tc>
          <w:tcPr>
            <w:tcW w:w="6894" w:type="dxa"/>
            <w:shd w:val="clear" w:color="auto" w:fill="auto"/>
          </w:tcPr>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Koelkast / droog / donker / </w:t>
            </w:r>
          </w:p>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w:t>
            </w:r>
          </w:p>
        </w:tc>
      </w:tr>
      <w:tr w:rsidR="00A314A9" w:rsidRPr="004E6943" w:rsidTr="00821EE6">
        <w:tc>
          <w:tcPr>
            <w:tcW w:w="2394" w:type="dxa"/>
            <w:shd w:val="clear" w:color="auto" w:fill="auto"/>
          </w:tcPr>
          <w:p w:rsidR="00A314A9" w:rsidRPr="004E6943" w:rsidRDefault="00A314A9" w:rsidP="00821EE6">
            <w:pPr>
              <w:spacing w:line="276" w:lineRule="auto"/>
              <w:rPr>
                <w:rFonts w:ascii="Century Gothic" w:eastAsia="Calibri" w:hAnsi="Century Gothic"/>
                <w:sz w:val="20"/>
                <w:szCs w:val="20"/>
              </w:rPr>
            </w:pPr>
            <w:r w:rsidRPr="004E6943">
              <w:rPr>
                <w:rFonts w:ascii="Century Gothic" w:eastAsia="Calibri" w:hAnsi="Century Gothic"/>
                <w:sz w:val="20"/>
                <w:szCs w:val="20"/>
              </w:rPr>
              <w:t>Bijzonderheden</w:t>
            </w:r>
          </w:p>
        </w:tc>
        <w:tc>
          <w:tcPr>
            <w:tcW w:w="6894" w:type="dxa"/>
            <w:shd w:val="clear" w:color="auto" w:fill="auto"/>
          </w:tcPr>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p>
          <w:p w:rsidR="00A314A9" w:rsidRPr="004E6943" w:rsidRDefault="00A314A9" w:rsidP="00821EE6">
            <w:pPr>
              <w:spacing w:line="276" w:lineRule="auto"/>
              <w:rPr>
                <w:rFonts w:ascii="Century Gothic" w:eastAsia="Calibri" w:hAnsi="Century Gothic"/>
                <w:sz w:val="20"/>
                <w:szCs w:val="20"/>
              </w:rPr>
            </w:pPr>
          </w:p>
        </w:tc>
      </w:tr>
    </w:tbl>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Denk aan het controleren van de vervaldatum. </w:t>
      </w:r>
    </w:p>
    <w:p w:rsidR="00A314A9" w:rsidRPr="004E6943" w:rsidRDefault="00A314A9" w:rsidP="00A314A9">
      <w:pPr>
        <w:spacing w:line="276" w:lineRule="auto"/>
        <w:rPr>
          <w:rFonts w:ascii="Century Gothic" w:eastAsia="Calibri" w:hAnsi="Century Gothic"/>
          <w:sz w:val="20"/>
          <w:szCs w:val="20"/>
        </w:rPr>
      </w:pPr>
    </w:p>
    <w:p w:rsidR="00A314A9" w:rsidRPr="004E6943" w:rsidRDefault="00A314A9" w:rsidP="00A314A9">
      <w:pPr>
        <w:spacing w:line="276" w:lineRule="auto"/>
        <w:rPr>
          <w:rFonts w:ascii="Century Gothic" w:eastAsia="Calibri" w:hAnsi="Century Gothic"/>
          <w:sz w:val="20"/>
          <w:szCs w:val="20"/>
        </w:rPr>
      </w:pPr>
      <w:r w:rsidRPr="004E6943">
        <w:rPr>
          <w:rFonts w:ascii="Century Gothic" w:eastAsia="Calibri" w:hAnsi="Century Gothic"/>
          <w:sz w:val="20"/>
          <w:szCs w:val="20"/>
        </w:rPr>
        <w:t xml:space="preserve">NB.: De Lispeltuut kan in geen enkel geval aansprakelijk worden gesteld voor het toedienen van medicatie. </w:t>
      </w:r>
    </w:p>
    <w:p w:rsidR="008D4946" w:rsidRDefault="008D4946"/>
    <w:sectPr w:rsidR="008D4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6502C"/>
    <w:multiLevelType w:val="hybridMultilevel"/>
    <w:tmpl w:val="F1AA960A"/>
    <w:lvl w:ilvl="0" w:tplc="3D58B578">
      <w:numFmt w:val="bullet"/>
      <w:lvlText w:val="-"/>
      <w:lvlJc w:val="left"/>
      <w:pPr>
        <w:ind w:left="720" w:hanging="360"/>
      </w:pPr>
      <w:rPr>
        <w:rFonts w:ascii="Calibri" w:eastAsia="SimSun" w:hAnsi="Calibri"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250591"/>
    <w:multiLevelType w:val="hybridMultilevel"/>
    <w:tmpl w:val="64A6C150"/>
    <w:lvl w:ilvl="0" w:tplc="033EDB92">
      <w:numFmt w:val="bullet"/>
      <w:lvlText w:val="•"/>
      <w:lvlJc w:val="left"/>
      <w:pPr>
        <w:ind w:left="720" w:hanging="360"/>
      </w:pPr>
      <w:rPr>
        <w:rFonts w:ascii="Century Gothic" w:eastAsia="Times New Roman" w:hAnsi="Century Gothic"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400B01"/>
    <w:multiLevelType w:val="hybridMultilevel"/>
    <w:tmpl w:val="4E6C1B06"/>
    <w:lvl w:ilvl="0" w:tplc="3D58B578">
      <w:numFmt w:val="bullet"/>
      <w:lvlText w:val="-"/>
      <w:lvlJc w:val="left"/>
      <w:pPr>
        <w:ind w:left="720" w:hanging="360"/>
      </w:pPr>
      <w:rPr>
        <w:rFonts w:ascii="Calibri" w:eastAsia="SimSun" w:hAnsi="Calibri"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A9"/>
    <w:rsid w:val="008D4946"/>
    <w:rsid w:val="00A31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786775"/>
  <w15:chartTrackingRefBased/>
  <w15:docId w15:val="{B569E183-73B4-419B-859B-4A8721BA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14A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1014FA9F</Template>
  <TotalTime>1</TotalTime>
  <Pages>3</Pages>
  <Words>1104</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Lispeltuut</dc:creator>
  <cp:keywords/>
  <dc:description/>
  <cp:lastModifiedBy>Directie Lispeltuut</cp:lastModifiedBy>
  <cp:revision>1</cp:revision>
  <dcterms:created xsi:type="dcterms:W3CDTF">2019-01-28T15:34:00Z</dcterms:created>
  <dcterms:modified xsi:type="dcterms:W3CDTF">2019-01-28T15:35:00Z</dcterms:modified>
</cp:coreProperties>
</file>