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8811" w14:textId="3B54EE83" w:rsidR="002F2248" w:rsidRDefault="00952CD7">
      <w:pPr>
        <w:rPr>
          <w:sz w:val="36"/>
          <w:szCs w:val="36"/>
        </w:rPr>
      </w:pPr>
      <w:r>
        <w:rPr>
          <w:sz w:val="36"/>
          <w:szCs w:val="36"/>
        </w:rPr>
        <w:t>Meldcode</w:t>
      </w:r>
    </w:p>
    <w:p w14:paraId="5CE7E1DD" w14:textId="600E176F" w:rsidR="00316DDA" w:rsidRDefault="00316DDA">
      <w:pPr>
        <w:rPr>
          <w:sz w:val="36"/>
          <w:szCs w:val="36"/>
        </w:rPr>
      </w:pPr>
    </w:p>
    <w:p w14:paraId="54AE84B7" w14:textId="77777777" w:rsidR="00952CD7" w:rsidRPr="002469B7" w:rsidRDefault="00952CD7" w:rsidP="00952CD7">
      <w:pPr>
        <w:pStyle w:val="Kop1"/>
        <w:numPr>
          <w:ilvl w:val="0"/>
          <w:numId w:val="1"/>
        </w:numPr>
        <w:ind w:left="0" w:firstLine="0"/>
      </w:pPr>
      <w:bookmarkStart w:id="0" w:name="_Toc8221807"/>
      <w:r>
        <w:t>Meldcode</w:t>
      </w:r>
      <w:bookmarkEnd w:id="0"/>
    </w:p>
    <w:p w14:paraId="46264B8E" w14:textId="77777777" w:rsidR="00952CD7" w:rsidRDefault="00952CD7" w:rsidP="00952CD7">
      <w:r w:rsidRPr="2553C39F">
        <w:rPr>
          <w:rFonts w:ascii="Tahoma" w:eastAsia="Tahoma" w:hAnsi="Tahoma" w:cs="Tahoma"/>
          <w:color w:val="000000" w:themeColor="text1"/>
          <w:sz w:val="20"/>
          <w:szCs w:val="20"/>
        </w:rPr>
        <w:t xml:space="preserve">Per september 2012 wordt de registratie van incidenten verplicht voor alle scholen. </w:t>
      </w:r>
      <w:r w:rsidRPr="2553C39F">
        <w:rPr>
          <w:rFonts w:ascii="Tahoma" w:eastAsia="Tahoma" w:hAnsi="Tahoma" w:cs="Tahoma"/>
          <w:color w:val="FF0000"/>
          <w:sz w:val="20"/>
          <w:szCs w:val="20"/>
        </w:rPr>
        <w:t xml:space="preserve">Sinds 1 januari 2019 zijn stap 4 en 5 van de meldcode aangescherpt. </w:t>
      </w:r>
      <w:r w:rsidRPr="2553C39F">
        <w:rPr>
          <w:rFonts w:ascii="Tahoma" w:eastAsia="Tahoma" w:hAnsi="Tahoma" w:cs="Tahoma"/>
          <w:color w:val="000000" w:themeColor="text1"/>
          <w:sz w:val="20"/>
          <w:szCs w:val="20"/>
        </w:rPr>
        <w:t>Daarom komen er eenduidige en duidelijke definities van verschillende incidenten. Scholen moeten zich houden aan de Wet bescherming persoonsgegevens. De registratiegegevens blijven in bezit van de school en zijn niet openbaar. De Inspectie van het Onderwijs krijgt wel inzage in deze gegevens tijdens haar schoolbezoek.</w:t>
      </w:r>
    </w:p>
    <w:p w14:paraId="462D4FB7" w14:textId="77777777" w:rsidR="00952CD7" w:rsidRDefault="00952CD7" w:rsidP="00952CD7">
      <w:r w:rsidRPr="1B7F3EB1">
        <w:rPr>
          <w:rFonts w:ascii="Tahoma" w:eastAsia="Tahoma" w:hAnsi="Tahoma" w:cs="Tahoma"/>
          <w:b/>
          <w:bCs/>
          <w:color w:val="000000" w:themeColor="text1"/>
          <w:sz w:val="20"/>
          <w:szCs w:val="20"/>
        </w:rPr>
        <w:t>Incidenten en arbeidsongevallen</w:t>
      </w:r>
    </w:p>
    <w:p w14:paraId="5358041C" w14:textId="77777777" w:rsidR="00952CD7" w:rsidRDefault="00952CD7" w:rsidP="00952CD7">
      <w:r w:rsidRPr="1B7F3EB1">
        <w:rPr>
          <w:rFonts w:ascii="Tahoma" w:eastAsia="Tahoma" w:hAnsi="Tahoma" w:cs="Tahoma"/>
          <w:color w:val="000000" w:themeColor="text1"/>
          <w:sz w:val="20"/>
          <w:szCs w:val="20"/>
        </w:rPr>
        <w:t>Melding: onze school is wettelijk verplicht om ongevallen te melden aan de Arbeidsinspectie. Iedereen op onze school heeft de verantwoordelijkheid om aan de directie door te geven wanneer een ongeval heeft plaatsgevonden. Artikel 9, lid 1 van de Arbeidsomstandighedenwet luidt in dit kader als volgt: de werkgever meldt arbeidsongevallen die leiden tot de dood, een blijvend letsel of een ziekenhuisopname direct aan de daartoe aangewezen toezichthouder en rapporteert hierover desgevraagd zo spoedig mogelijk schriftelijk aan deze toezichthouder. Hiervoor wordt gebruik gemaakt van het Ongevallenmeldingsformulier Arbeidsinspectie (</w:t>
      </w:r>
      <w:r w:rsidRPr="1B7F3EB1">
        <w:rPr>
          <w:rFonts w:ascii="Tahoma" w:eastAsia="Tahoma" w:hAnsi="Tahoma" w:cs="Tahoma"/>
          <w:color w:val="000000" w:themeColor="text1"/>
          <w:sz w:val="20"/>
          <w:szCs w:val="20"/>
          <w:highlight w:val="yellow"/>
        </w:rPr>
        <w:t>zie bijlage 6)</w:t>
      </w:r>
      <w:r w:rsidRPr="1B7F3EB1">
        <w:rPr>
          <w:rFonts w:ascii="Tahoma" w:eastAsia="Tahoma" w:hAnsi="Tahoma" w:cs="Tahoma"/>
          <w:color w:val="000000" w:themeColor="text1"/>
          <w:sz w:val="20"/>
          <w:szCs w:val="20"/>
        </w:rPr>
        <w:t>. Het niet melden van zo’n arbeidsongeval kan een boete van duizenden euro’s betekenen.</w:t>
      </w:r>
    </w:p>
    <w:p w14:paraId="72A27DD6" w14:textId="77777777" w:rsidR="00952CD7" w:rsidRDefault="00952CD7" w:rsidP="00952CD7">
      <w:r w:rsidRPr="1B7F3EB1">
        <w:rPr>
          <w:rFonts w:ascii="Tahoma" w:eastAsia="Tahoma" w:hAnsi="Tahoma" w:cs="Tahoma"/>
          <w:color w:val="000000" w:themeColor="text1"/>
          <w:sz w:val="20"/>
          <w:szCs w:val="20"/>
        </w:rPr>
        <w:t>Stichting Cambium heeft besloten om ook de minder ernstige incidenten te laten registreren door de preventiemedewerker (fysieke/materiële) en de interne contactpersoon/vertrouwenspersoon (sociale/immateriële), zie bijlage 3. Afgesproken is om dit gedurende één schooljaar te doen en driemaandelijks de voortgang en opbrengst te evalueren i.s.m. de MR. Na dit jaar wordt besloten of het nodig is om met deze registratie door te gaan of ons te beperken tot de wettelijke verplichtingen. Deze registraties worden zorgvuldig bewaard waarbij alleen de preventiemedewerker en directeur toegang hebben tot de formulieren.</w:t>
      </w:r>
    </w:p>
    <w:p w14:paraId="5EC26883" w14:textId="77777777" w:rsidR="00952CD7" w:rsidRDefault="00952CD7" w:rsidP="00952CD7">
      <w:r w:rsidRPr="1B7F3EB1">
        <w:rPr>
          <w:rFonts w:ascii="Tahoma" w:eastAsia="Tahoma" w:hAnsi="Tahoma" w:cs="Tahoma"/>
          <w:color w:val="000000" w:themeColor="text1"/>
          <w:sz w:val="20"/>
          <w:szCs w:val="20"/>
        </w:rPr>
        <w:t>Jaarlijks wordt een overzicht gemaakt van het aantal meldingen op het incidentenregister, zie bijlage 7. Dit overzicht bevat algemene (dit wil zeggen: geen individuele) gegevens, die in de diverse overlegvormen (directeurenberaad, MR en teamoverleg van de school) worden besproken.</w:t>
      </w:r>
    </w:p>
    <w:p w14:paraId="63304779" w14:textId="77777777" w:rsidR="00952CD7" w:rsidRDefault="00952CD7" w:rsidP="00952CD7">
      <w:r w:rsidRPr="1B7F3EB1">
        <w:rPr>
          <w:rFonts w:ascii="Tahoma" w:eastAsia="Tahoma" w:hAnsi="Tahoma" w:cs="Tahoma"/>
          <w:b/>
          <w:bCs/>
          <w:color w:val="000000" w:themeColor="text1"/>
          <w:sz w:val="20"/>
          <w:szCs w:val="20"/>
        </w:rPr>
        <w:t>Seksueel geweld</w:t>
      </w:r>
    </w:p>
    <w:p w14:paraId="4E32DDA6" w14:textId="77777777" w:rsidR="00952CD7" w:rsidRDefault="00952CD7" w:rsidP="00952CD7">
      <w:r w:rsidRPr="1B7F3EB1">
        <w:rPr>
          <w:rFonts w:ascii="Tahoma" w:eastAsia="Tahoma" w:hAnsi="Tahoma" w:cs="Tahoma"/>
          <w:color w:val="000000" w:themeColor="text1"/>
          <w:sz w:val="20"/>
          <w:szCs w:val="20"/>
        </w:rPr>
        <w:t>Medewerkers in het primair onderwijs zijn wettelijk verplicht het schoolbestuur onmiddellijk te informeren als zij informatie krijgen over een mogelijk zedendelict door een medewerker van de school. Hieronder vallen ook contactpersonen/</w:t>
      </w:r>
      <w:proofErr w:type="spellStart"/>
      <w:r w:rsidRPr="1B7F3EB1">
        <w:rPr>
          <w:rFonts w:ascii="Tahoma" w:eastAsia="Tahoma" w:hAnsi="Tahoma" w:cs="Tahoma"/>
          <w:color w:val="000000" w:themeColor="text1"/>
          <w:sz w:val="20"/>
          <w:szCs w:val="20"/>
        </w:rPr>
        <w:t>IB’ers</w:t>
      </w:r>
      <w:proofErr w:type="spellEnd"/>
      <w:r w:rsidRPr="1B7F3EB1">
        <w:rPr>
          <w:rFonts w:ascii="Tahoma" w:eastAsia="Tahoma" w:hAnsi="Tahoma" w:cs="Tahoma"/>
          <w:color w:val="000000" w:themeColor="text1"/>
          <w:sz w:val="20"/>
          <w:szCs w:val="20"/>
        </w:rPr>
        <w:t xml:space="preserve"> die binnen hun functie informatie krijgen over mogelijk seksueel misbruik. Geen enkele medewerker kan zich beroepen op de geheimhoudingsplicht. Het is niet voldoende een tussenpersoon te informeren, zoals een lid van de schoolleiding. Het gaat dan om (het vermoeden van)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Als de medewerker zijn verantwoordelijkheid hiervoor niet neemt, kan het bestuur strenge maatregelen nemen. Zwijgt een medewerker over bij hem/haar bekend seksueel misbruik, dan kunnen het slachtoffer en/of zijn ouders een schadeclaim indienen tegen de medewerker.</w:t>
      </w:r>
    </w:p>
    <w:p w14:paraId="106E0A57" w14:textId="77777777" w:rsidR="00952CD7" w:rsidRDefault="00952CD7" w:rsidP="00952CD7">
      <w:r w:rsidRPr="1B7F3EB1">
        <w:rPr>
          <w:rFonts w:ascii="Tahoma" w:eastAsia="Tahoma" w:hAnsi="Tahoma" w:cs="Tahoma"/>
          <w:color w:val="000000" w:themeColor="text1"/>
          <w:sz w:val="20"/>
          <w:szCs w:val="20"/>
        </w:rPr>
        <w:t>Als het schoolbestuur een melding heeft ontvangen van een mogelijk zedendelict door een medewerker van de school, is het schoolbestuur verplicht direct te overleggen met de vertrouwensinspecteur van de Inspectie van het Onderwijs. De vertrouwensinspecteur stelt vast of er sprake is van een redelijk vermoeden van een strafbaar feit. Als na het overleg met de vertrouwensinspecteur blijkt dat er een redelijk vermoeden is van een zedendelict, is het schoolbestuur altijd verplicht aangifte te doen bij de politie. Ook als de betrokkenen misschien hun bedenkingen hebben. Het 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hen toevertrouwen.</w:t>
      </w:r>
    </w:p>
    <w:p w14:paraId="688F67B2" w14:textId="77777777" w:rsidR="00952CD7" w:rsidRDefault="00952CD7" w:rsidP="00952CD7">
      <w:r w:rsidRPr="1B7F3EB1">
        <w:rPr>
          <w:rFonts w:ascii="Tahoma" w:eastAsia="Tahoma" w:hAnsi="Tahoma" w:cs="Tahoma"/>
          <w:color w:val="000000" w:themeColor="text1"/>
          <w:sz w:val="20"/>
          <w:szCs w:val="20"/>
        </w:rPr>
        <w:t>Wanneer er een melding komt van een zedendelict, gepleegd door een leerling, wordt het vijfstappenplan gevolgd, zoals hierna beschreven.</w:t>
      </w:r>
    </w:p>
    <w:p w14:paraId="608A0B6D" w14:textId="77777777" w:rsidR="00952CD7" w:rsidRDefault="00952CD7" w:rsidP="00952CD7">
      <w:r w:rsidRPr="1B7F3EB1">
        <w:rPr>
          <w:rFonts w:ascii="ArialMT" w:eastAsia="ArialMT" w:hAnsi="ArialMT" w:cs="ArialMT"/>
          <w:color w:val="000000" w:themeColor="text1"/>
          <w:sz w:val="20"/>
          <w:szCs w:val="20"/>
        </w:rPr>
        <w:t>13</w:t>
      </w:r>
    </w:p>
    <w:p w14:paraId="2AE546CA" w14:textId="77777777" w:rsidR="00952CD7" w:rsidRDefault="00952CD7" w:rsidP="00952CD7">
      <w:r w:rsidRPr="1B7F3EB1">
        <w:rPr>
          <w:rFonts w:ascii="Tahoma" w:eastAsia="Tahoma" w:hAnsi="Tahoma" w:cs="Tahoma"/>
          <w:b/>
          <w:bCs/>
          <w:color w:val="000000" w:themeColor="text1"/>
          <w:sz w:val="20"/>
          <w:szCs w:val="20"/>
        </w:rPr>
        <w:t>Meldcode huiselijk geweld en kindermishandeling</w:t>
      </w:r>
    </w:p>
    <w:p w14:paraId="38D98654" w14:textId="77777777" w:rsidR="00952CD7" w:rsidRDefault="00952CD7" w:rsidP="00952CD7">
      <w:r w:rsidRPr="1B7F3EB1">
        <w:rPr>
          <w:rFonts w:ascii="Tahoma" w:eastAsia="Tahoma" w:hAnsi="Tahoma" w:cs="Tahoma"/>
          <w:color w:val="000000" w:themeColor="text1"/>
          <w:sz w:val="20"/>
          <w:szCs w:val="20"/>
        </w:rPr>
        <w:lastRenderedPageBreak/>
        <w:t>Wat te doen met vermoedens van kindermishandeling is geregeld in de Meldcode huiselijk geweld en kindermishandeling.</w:t>
      </w:r>
    </w:p>
    <w:p w14:paraId="0C032148" w14:textId="77777777" w:rsidR="00952CD7" w:rsidRDefault="00952CD7" w:rsidP="00952CD7">
      <w:r w:rsidRPr="1B7F3EB1">
        <w:rPr>
          <w:rFonts w:ascii="Tahoma" w:eastAsia="Tahoma" w:hAnsi="Tahoma" w:cs="Tahoma"/>
          <w:color w:val="000000" w:themeColor="text1"/>
          <w:sz w:val="20"/>
          <w:szCs w:val="20"/>
        </w:rPr>
        <w:t>Onderwijsorganisaties zijn verplicht om een meldcode in de eigen organisatie te implementeren en het gebruik en kennis hiervan te bevorderen. De meldcode huiselijk geweld en kindermishandeling is een stappenplan waarin staat wat professionals kunnen doen als zij een vermoeden hebben van huiselijk geweld of kindermishandeling. Ons personeel is hiervoor opgeleid.</w:t>
      </w:r>
    </w:p>
    <w:p w14:paraId="6F2075AF" w14:textId="77777777" w:rsidR="00952CD7" w:rsidRDefault="00952CD7" w:rsidP="00952CD7">
      <w:r w:rsidRPr="1B7F3EB1">
        <w:rPr>
          <w:rFonts w:ascii="Tahoma" w:eastAsia="Tahoma" w:hAnsi="Tahoma" w:cs="Tahoma"/>
          <w:color w:val="000000" w:themeColor="text1"/>
          <w:sz w:val="20"/>
          <w:szCs w:val="20"/>
        </w:rPr>
        <w:t>Vijfstappenplan: een meldcode beschrijft in stappen wat bijvoorbeeld een arts, verpleegkundige of leerkracht moet doen. In het Basismodel meldcode is toegelicht welke 5 stappen in elk geval in de meldcode moeten staan. Onze school neemt dit basismodel over.</w:t>
      </w:r>
      <w:r>
        <w:br/>
      </w:r>
      <w:r w:rsidRPr="1B7F3EB1">
        <w:rPr>
          <w:rFonts w:ascii="Tahoma" w:eastAsia="Tahoma" w:hAnsi="Tahoma" w:cs="Tahoma"/>
          <w:color w:val="000000" w:themeColor="text1"/>
          <w:sz w:val="20"/>
          <w:szCs w:val="20"/>
        </w:rPr>
        <w:t>Stap 1: in kaart brengen van signalen.</w:t>
      </w:r>
    </w:p>
    <w:p w14:paraId="4B4FB30F" w14:textId="77777777" w:rsidR="00952CD7" w:rsidRDefault="00952CD7" w:rsidP="00952CD7">
      <w:pPr>
        <w:rPr>
          <w:rFonts w:ascii="Tahoma" w:eastAsia="Tahoma" w:hAnsi="Tahoma" w:cs="Tahoma"/>
          <w:color w:val="000000" w:themeColor="text1"/>
          <w:sz w:val="20"/>
          <w:szCs w:val="20"/>
        </w:rPr>
      </w:pPr>
      <w:r w:rsidRPr="1B7F3EB1">
        <w:rPr>
          <w:rFonts w:ascii="Tahoma" w:eastAsia="Tahoma" w:hAnsi="Tahoma" w:cs="Tahoma"/>
          <w:color w:val="000000" w:themeColor="text1"/>
          <w:sz w:val="20"/>
          <w:szCs w:val="20"/>
        </w:rPr>
        <w:t>Stap 2: overleggen met een collega en eventueel raadplegen van het Advies- en Meldpunt Kindermishandeling of het Steunpunt Huiselijk Geweld.</w:t>
      </w:r>
      <w:r>
        <w:br/>
      </w:r>
      <w:r w:rsidRPr="1B7F3EB1">
        <w:rPr>
          <w:rFonts w:ascii="Tahoma" w:eastAsia="Tahoma" w:hAnsi="Tahoma" w:cs="Tahoma"/>
          <w:color w:val="000000" w:themeColor="text1"/>
          <w:sz w:val="20"/>
          <w:szCs w:val="20"/>
        </w:rPr>
        <w:t>Stap 3: gesprek met de cliënt.</w:t>
      </w:r>
    </w:p>
    <w:p w14:paraId="4B952349" w14:textId="77777777" w:rsidR="00952CD7" w:rsidRPr="002C4B43" w:rsidRDefault="00952CD7" w:rsidP="00952CD7">
      <w:pPr>
        <w:rPr>
          <w:rFonts w:ascii="Tahoma" w:eastAsia="Tahoma" w:hAnsi="Tahoma" w:cs="Tahoma"/>
          <w:color w:val="000000" w:themeColor="text1"/>
          <w:sz w:val="20"/>
          <w:szCs w:val="20"/>
        </w:rPr>
      </w:pPr>
      <w:r w:rsidRPr="1B7F3EB1">
        <w:rPr>
          <w:rFonts w:ascii="Tahoma" w:eastAsia="Tahoma" w:hAnsi="Tahoma" w:cs="Tahoma"/>
          <w:color w:val="000000" w:themeColor="text1"/>
          <w:sz w:val="20"/>
          <w:szCs w:val="20"/>
        </w:rPr>
        <w:t>Stap 4: wegen van het geweld of de kindermishandeling.</w:t>
      </w:r>
    </w:p>
    <w:p w14:paraId="33778362" w14:textId="77777777" w:rsidR="00952CD7" w:rsidRDefault="00952CD7" w:rsidP="00952CD7">
      <w:r w:rsidRPr="1B7F3EB1">
        <w:rPr>
          <w:rFonts w:ascii="Tahoma" w:eastAsia="Tahoma" w:hAnsi="Tahoma" w:cs="Tahoma"/>
          <w:color w:val="000000" w:themeColor="text1"/>
          <w:sz w:val="20"/>
          <w:szCs w:val="20"/>
        </w:rPr>
        <w:t>Stap 5: beslissen: hulp organiseren of melden.</w:t>
      </w:r>
    </w:p>
    <w:p w14:paraId="0AF8149B" w14:textId="77777777" w:rsidR="00952CD7" w:rsidRDefault="00952CD7" w:rsidP="00952CD7">
      <w:r w:rsidRPr="1B7F3EB1">
        <w:rPr>
          <w:rFonts w:ascii="Tahoma" w:eastAsia="Tahoma" w:hAnsi="Tahoma" w:cs="Tahoma"/>
          <w:color w:val="000000" w:themeColor="text1"/>
          <w:sz w:val="20"/>
          <w:szCs w:val="20"/>
        </w:rPr>
        <w:t xml:space="preserve">Melden van het vermoeden van kindermishandeling bij Veilig Thuis. </w:t>
      </w:r>
      <w:hyperlink r:id="rId5">
        <w:r w:rsidRPr="1B7F3EB1">
          <w:rPr>
            <w:rStyle w:val="Hyperlink"/>
            <w:rFonts w:ascii="Tahoma" w:eastAsia="Tahoma" w:hAnsi="Tahoma" w:cs="Tahoma"/>
            <w:color w:val="000000" w:themeColor="text1"/>
            <w:sz w:val="20"/>
            <w:szCs w:val="20"/>
          </w:rPr>
          <w:t>http://vooreenveiligthuis.nl/veilig-</w:t>
        </w:r>
      </w:hyperlink>
      <w:r w:rsidRPr="1B7F3EB1">
        <w:rPr>
          <w:rFonts w:ascii="Tahoma" w:eastAsia="Tahoma" w:hAnsi="Tahoma" w:cs="Tahoma"/>
          <w:color w:val="000000" w:themeColor="text1"/>
          <w:sz w:val="20"/>
          <w:szCs w:val="20"/>
        </w:rPr>
        <w:t xml:space="preserve"> thuis Bel met Veilig Thuis op 0800-2000. (</w:t>
      </w:r>
      <w:proofErr w:type="gramStart"/>
      <w:r w:rsidRPr="1B7F3EB1">
        <w:rPr>
          <w:rFonts w:ascii="Tahoma" w:eastAsia="Tahoma" w:hAnsi="Tahoma" w:cs="Tahoma"/>
          <w:color w:val="000000" w:themeColor="text1"/>
          <w:sz w:val="20"/>
          <w:szCs w:val="20"/>
        </w:rPr>
        <w:t>gratis</w:t>
      </w:r>
      <w:proofErr w:type="gramEnd"/>
      <w:r w:rsidRPr="1B7F3EB1">
        <w:rPr>
          <w:rFonts w:ascii="Tahoma" w:eastAsia="Tahoma" w:hAnsi="Tahoma" w:cs="Tahoma"/>
          <w:color w:val="000000" w:themeColor="text1"/>
          <w:sz w:val="20"/>
          <w:szCs w:val="20"/>
        </w:rPr>
        <w:t xml:space="preserve"> en 24/7 bereikbaar).</w:t>
      </w:r>
    </w:p>
    <w:p w14:paraId="6A3B3527" w14:textId="77777777" w:rsidR="00952CD7" w:rsidRDefault="00952CD7" w:rsidP="00952CD7">
      <w:r w:rsidRPr="1B7F3EB1">
        <w:rPr>
          <w:rFonts w:ascii="Tahoma" w:eastAsia="Tahoma" w:hAnsi="Tahoma" w:cs="Tahoma"/>
          <w:color w:val="000000" w:themeColor="text1"/>
          <w:sz w:val="20"/>
          <w:szCs w:val="20"/>
        </w:rPr>
        <w:t>Op de school is een volledige meldcode aanwezig waarin deze vijf stappen uitgebreider aan bod komen en aangegeven is welke vormen van mishandeling er zijn.</w:t>
      </w:r>
    </w:p>
    <w:p w14:paraId="7C7317DE" w14:textId="77777777" w:rsidR="00952CD7" w:rsidRDefault="00952CD7" w:rsidP="00952CD7">
      <w:r w:rsidRPr="1B7F3EB1">
        <w:rPr>
          <w:rFonts w:ascii="Tahoma" w:eastAsia="Tahoma" w:hAnsi="Tahoma" w:cs="Tahoma"/>
          <w:color w:val="000000" w:themeColor="text1"/>
          <w:sz w:val="20"/>
          <w:szCs w:val="20"/>
        </w:rPr>
        <w:t>Wanneer geldt de meldcode en wanneer een meldplicht?</w:t>
      </w:r>
      <w:r>
        <w:br/>
      </w:r>
      <w:r w:rsidRPr="1B7F3EB1">
        <w:rPr>
          <w:rFonts w:ascii="Tahoma" w:eastAsia="Tahoma" w:hAnsi="Tahoma" w:cs="Tahoma"/>
          <w:color w:val="000000" w:themeColor="text1"/>
          <w:sz w:val="20"/>
          <w:szCs w:val="20"/>
        </w:rPr>
        <w:t>Een verplichte meldcode is iets anders dan een meldplicht. De meldcode huiselijk geweld en kindermishandeling is bedoeld voor professionals in de gezondheidszorg, onderwijs, kinderopvang, maatschappelijke ondersteuning, jeugdzorg en bij justitie. De meldcode ziet toe op kindermishandeling en geweld waarbij de pleger afkomstig is uit huiselijke kring.</w:t>
      </w:r>
    </w:p>
    <w:p w14:paraId="6667A5C5" w14:textId="77777777" w:rsidR="00952CD7" w:rsidRDefault="00952CD7" w:rsidP="00952CD7">
      <w:pPr>
        <w:rPr>
          <w:rFonts w:ascii="Tahoma" w:eastAsia="Tahoma" w:hAnsi="Tahoma" w:cs="Tahoma"/>
          <w:color w:val="000000" w:themeColor="text1"/>
          <w:sz w:val="20"/>
          <w:szCs w:val="20"/>
          <w:highlight w:val="yellow"/>
        </w:rPr>
      </w:pPr>
      <w:r w:rsidRPr="1B7F3EB1">
        <w:rPr>
          <w:rFonts w:ascii="Tahoma" w:eastAsia="Tahoma" w:hAnsi="Tahoma" w:cs="Tahoma"/>
          <w:color w:val="000000" w:themeColor="text1"/>
          <w:sz w:val="20"/>
          <w:szCs w:val="20"/>
        </w:rPr>
        <w:t xml:space="preserve">Wanneer de pleger een professional is die tijdens het uitoefenen van zijn functie kinderen mishandelt, geldt in een aantal sectoren een meldplicht (zoals in de jeugdzorg en de medische sector). Voor het onderwijs en de kinderopvang geldt een meldplicht bij seksueel misbruik </w:t>
      </w:r>
      <w:r w:rsidRPr="1B7F3EB1">
        <w:rPr>
          <w:rFonts w:ascii="Tahoma" w:eastAsia="Tahoma" w:hAnsi="Tahoma" w:cs="Tahoma"/>
          <w:color w:val="000000" w:themeColor="text1"/>
          <w:sz w:val="20"/>
          <w:szCs w:val="20"/>
          <w:highlight w:val="yellow"/>
        </w:rPr>
        <w:t>(zie ook pag...., onder het kopje seksueel geweld).</w:t>
      </w:r>
    </w:p>
    <w:p w14:paraId="314F55CD" w14:textId="77777777" w:rsidR="00952CD7" w:rsidRDefault="00952CD7" w:rsidP="00952CD7">
      <w:r w:rsidRPr="1B7F3EB1">
        <w:rPr>
          <w:rFonts w:ascii="Tahoma" w:eastAsia="Tahoma" w:hAnsi="Tahoma" w:cs="Tahoma"/>
          <w:color w:val="000000" w:themeColor="text1"/>
          <w:sz w:val="20"/>
          <w:szCs w:val="20"/>
        </w:rPr>
        <w:t>Wanneer een professional een vermoeden heeft dat een collega een kind (of volwassene) mishandelt dan wel seksueel misbruikt, dient hij dit te melden bij het bestuur van de instelling. Deze meldt het misbruik vervolgens bij de desbetreffende Inspectie (Jeugdzorg, Gezondheidszorg of Onderwijs).</w:t>
      </w:r>
    </w:p>
    <w:p w14:paraId="4B9B6E24" w14:textId="77777777" w:rsidR="00952CD7" w:rsidRDefault="00952CD7" w:rsidP="00952CD7"/>
    <w:p w14:paraId="17A5F4D6" w14:textId="77777777" w:rsidR="00952CD7" w:rsidRDefault="00952CD7">
      <w:pPr>
        <w:rPr>
          <w:sz w:val="36"/>
          <w:szCs w:val="36"/>
        </w:rPr>
      </w:pPr>
    </w:p>
    <w:p w14:paraId="5225A2C0" w14:textId="77777777" w:rsidR="00316DDA" w:rsidRPr="00316DDA" w:rsidRDefault="00316DDA">
      <w:pPr>
        <w:rPr>
          <w:sz w:val="36"/>
          <w:szCs w:val="36"/>
        </w:rPr>
      </w:pPr>
    </w:p>
    <w:sectPr w:rsidR="00316DDA" w:rsidRPr="00316DDA" w:rsidSect="00C500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E2E4F"/>
    <w:multiLevelType w:val="multilevel"/>
    <w:tmpl w:val="A418B8BA"/>
    <w:lvl w:ilvl="0">
      <w:start w:val="1"/>
      <w:numFmt w:val="decimal"/>
      <w:pStyle w:val="Kop1"/>
      <w:lvlText w:val="%1."/>
      <w:lvlJc w:val="left"/>
      <w:pPr>
        <w:ind w:left="1287" w:hanging="360"/>
      </w:pPr>
      <w:rPr>
        <w:sz w:val="40"/>
        <w:szCs w:val="40"/>
      </w:rPr>
    </w:lvl>
    <w:lvl w:ilvl="1">
      <w:start w:val="1"/>
      <w:numFmt w:val="decimal"/>
      <w:pStyle w:val="Tabelraster"/>
      <w:lvlText w:val="%1.%2"/>
      <w:lvlJc w:val="left"/>
      <w:pPr>
        <w:ind w:left="1632" w:hanging="705"/>
      </w:pPr>
    </w:lvl>
    <w:lvl w:ilvl="2">
      <w:start w:val="1"/>
      <w:numFmt w:val="decimal"/>
      <w:lvlText w:val="%1.%2.%3"/>
      <w:lvlJc w:val="left"/>
      <w:pPr>
        <w:ind w:left="1647" w:hanging="720"/>
      </w:pPr>
    </w:lvl>
    <w:lvl w:ilvl="3">
      <w:start w:val="1"/>
      <w:numFmt w:val="decimal"/>
      <w:isLgl/>
      <w:lvlText w:val="%1.%2.%3.%4"/>
      <w:lvlJc w:val="left"/>
      <w:pPr>
        <w:ind w:left="1647" w:hanging="720"/>
      </w:pPr>
      <w:rPr>
        <w:rFonts w:eastAsiaTheme="minorHAnsi" w:cs="Calibri" w:hint="default"/>
      </w:rPr>
    </w:lvl>
    <w:lvl w:ilvl="4">
      <w:start w:val="1"/>
      <w:numFmt w:val="decimal"/>
      <w:isLgl/>
      <w:lvlText w:val="%1.%2.%3.%4.%5"/>
      <w:lvlJc w:val="left"/>
      <w:pPr>
        <w:ind w:left="2007" w:hanging="1080"/>
      </w:pPr>
      <w:rPr>
        <w:rFonts w:eastAsiaTheme="minorHAnsi" w:cs="Calibri" w:hint="default"/>
      </w:rPr>
    </w:lvl>
    <w:lvl w:ilvl="5">
      <w:start w:val="1"/>
      <w:numFmt w:val="decimal"/>
      <w:isLgl/>
      <w:lvlText w:val="%1.%2.%3.%4.%5.%6"/>
      <w:lvlJc w:val="left"/>
      <w:pPr>
        <w:ind w:left="2007" w:hanging="1080"/>
      </w:pPr>
      <w:rPr>
        <w:rFonts w:eastAsiaTheme="minorHAnsi" w:cs="Calibri" w:hint="default"/>
      </w:rPr>
    </w:lvl>
    <w:lvl w:ilvl="6">
      <w:start w:val="1"/>
      <w:numFmt w:val="decimal"/>
      <w:isLgl/>
      <w:lvlText w:val="%1.%2.%3.%4.%5.%6.%7"/>
      <w:lvlJc w:val="left"/>
      <w:pPr>
        <w:ind w:left="2367" w:hanging="1440"/>
      </w:pPr>
      <w:rPr>
        <w:rFonts w:eastAsiaTheme="minorHAnsi" w:cs="Calibri" w:hint="default"/>
      </w:rPr>
    </w:lvl>
    <w:lvl w:ilvl="7">
      <w:start w:val="1"/>
      <w:numFmt w:val="decimal"/>
      <w:isLgl/>
      <w:lvlText w:val="%1.%2.%3.%4.%5.%6.%7.%8"/>
      <w:lvlJc w:val="left"/>
      <w:pPr>
        <w:ind w:left="2367" w:hanging="1440"/>
      </w:pPr>
      <w:rPr>
        <w:rFonts w:eastAsiaTheme="minorHAnsi" w:cs="Calibri" w:hint="default"/>
      </w:rPr>
    </w:lvl>
    <w:lvl w:ilvl="8">
      <w:start w:val="1"/>
      <w:numFmt w:val="decimal"/>
      <w:isLgl/>
      <w:lvlText w:val="%1.%2.%3.%4.%5.%6.%7.%8.%9"/>
      <w:lvlJc w:val="left"/>
      <w:pPr>
        <w:ind w:left="2367" w:hanging="1440"/>
      </w:pPr>
      <w:rPr>
        <w:rFonts w:eastAsiaTheme="minorHAnsi" w:cs="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DA"/>
    <w:rsid w:val="002F2248"/>
    <w:rsid w:val="00316DDA"/>
    <w:rsid w:val="003E359B"/>
    <w:rsid w:val="00952CD7"/>
    <w:rsid w:val="00C50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397B11"/>
  <w15:chartTrackingRefBased/>
  <w15:docId w15:val="{F1B4F480-5D86-AC41-9F21-02FEDF00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316D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52C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16DDA"/>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316D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Kop 2.0"/>
    <w:basedOn w:val="Kop2"/>
    <w:next w:val="Kop2"/>
    <w:autoRedefine/>
    <w:uiPriority w:val="1"/>
    <w:qFormat/>
    <w:rsid w:val="00952CD7"/>
    <w:pPr>
      <w:tabs>
        <w:tab w:val="num" w:pos="360"/>
      </w:tabs>
    </w:pPr>
    <w:rPr>
      <w:rFonts w:ascii="Calibri" w:hAnsi="Calibri" w:cs="Times New Roman"/>
      <w:b/>
      <w:color w:val="92D050"/>
      <w:sz w:val="28"/>
      <w:szCs w:val="24"/>
    </w:rPr>
  </w:style>
  <w:style w:type="character" w:styleId="Hyperlink">
    <w:name w:val="Hyperlink"/>
    <w:basedOn w:val="Standaardalinea-lettertype"/>
    <w:uiPriority w:val="99"/>
    <w:unhideWhenUsed/>
    <w:rsid w:val="00952CD7"/>
    <w:rPr>
      <w:color w:val="0563C1" w:themeColor="hyperlink"/>
      <w:u w:val="single"/>
    </w:rPr>
  </w:style>
  <w:style w:type="character" w:customStyle="1" w:styleId="Kop2Char">
    <w:name w:val="Kop 2 Char"/>
    <w:basedOn w:val="Standaardalinea-lettertype"/>
    <w:link w:val="Kop2"/>
    <w:uiPriority w:val="9"/>
    <w:semiHidden/>
    <w:rsid w:val="00952C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oreenveiligthuis.nl/veili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5782</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j.k.bisschop@gmail.com</dc:creator>
  <cp:keywords/>
  <dc:description/>
  <cp:lastModifiedBy>j.k.bisschop@gmail.com</cp:lastModifiedBy>
  <cp:revision>2</cp:revision>
  <dcterms:created xsi:type="dcterms:W3CDTF">2021-10-12T18:41:00Z</dcterms:created>
  <dcterms:modified xsi:type="dcterms:W3CDTF">2021-10-12T18:41:00Z</dcterms:modified>
</cp:coreProperties>
</file>