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F02" w14:textId="32817534" w:rsidR="00087B12" w:rsidRPr="00087B12" w:rsidRDefault="00087B12" w:rsidP="00087B12">
      <w:pPr>
        <w:pStyle w:val="Titel"/>
        <w:rPr>
          <w:b/>
          <w:bCs/>
          <w:color w:val="1F3864" w:themeColor="accent1" w:themeShade="80"/>
          <w:u w:val="single"/>
        </w:rPr>
      </w:pPr>
      <w:r w:rsidRPr="00087B12">
        <w:rPr>
          <w:b/>
          <w:bCs/>
          <w:color w:val="1F3864" w:themeColor="accent1" w:themeShade="80"/>
          <w:u w:val="single"/>
        </w:rPr>
        <w:t>Eindtoets DUR</w:t>
      </w:r>
      <w:r w:rsidR="00B715E8">
        <w:rPr>
          <w:b/>
          <w:bCs/>
          <w:color w:val="1F3864" w:themeColor="accent1" w:themeShade="80"/>
          <w:u w:val="single"/>
        </w:rPr>
        <w:t>F</w:t>
      </w:r>
      <w:r w:rsidRPr="00087B12">
        <w:rPr>
          <w:b/>
          <w:bCs/>
          <w:color w:val="1F3864" w:themeColor="accent1" w:themeShade="80"/>
          <w:u w:val="single"/>
        </w:rPr>
        <w:t xml:space="preserve"> 202</w:t>
      </w:r>
      <w:r w:rsidR="00BC402C">
        <w:rPr>
          <w:b/>
          <w:bCs/>
          <w:color w:val="1F3864" w:themeColor="accent1" w:themeShade="80"/>
          <w:u w:val="single"/>
        </w:rPr>
        <w:t>2</w:t>
      </w:r>
      <w:r w:rsidRPr="00087B12">
        <w:rPr>
          <w:b/>
          <w:bCs/>
          <w:color w:val="1F3864" w:themeColor="accent1" w:themeShade="80"/>
          <w:u w:val="single"/>
        </w:rPr>
        <w:t>-202</w:t>
      </w:r>
      <w:r w:rsidR="00BC402C">
        <w:rPr>
          <w:b/>
          <w:bCs/>
          <w:color w:val="1F3864" w:themeColor="accent1" w:themeShade="80"/>
          <w:u w:val="single"/>
        </w:rPr>
        <w:t>3</w:t>
      </w:r>
    </w:p>
    <w:p w14:paraId="66D3DC7C" w14:textId="5DF11596" w:rsidR="00087B12" w:rsidRPr="00087B12" w:rsidRDefault="00087B12" w:rsidP="00087B12">
      <w:pPr>
        <w:rPr>
          <w:b/>
          <w:bCs/>
          <w:color w:val="1F3864" w:themeColor="accent1" w:themeShade="80"/>
          <w:u w:val="single"/>
        </w:rPr>
      </w:pPr>
    </w:p>
    <w:p w14:paraId="04D5FE7A" w14:textId="0C350474" w:rsidR="00087B12" w:rsidRPr="00087B12" w:rsidRDefault="00087B12" w:rsidP="00087B12">
      <w:pPr>
        <w:rPr>
          <w:i/>
          <w:iCs/>
          <w:color w:val="1F3864" w:themeColor="accent1" w:themeShade="80"/>
        </w:rPr>
      </w:pPr>
      <w:r w:rsidRPr="00087B12">
        <w:rPr>
          <w:i/>
          <w:iCs/>
          <w:color w:val="1F3864" w:themeColor="accent1" w:themeShade="80"/>
        </w:rPr>
        <w:t>Inspectie:</w:t>
      </w:r>
    </w:p>
    <w:p w14:paraId="6D96FB42" w14:textId="7AAA8631" w:rsidR="00087B12" w:rsidRDefault="00087B12" w:rsidP="00087B12">
      <w:r w:rsidRPr="00087B12">
        <w:t>Het oordeel over de basisvaardigheden (de standard OR1 resultaten) baseren we op de bepaalde referentieniveaus op de eindtoets in de laatste drie schooljaren. Daarbij onderscheiden we twee indicatoren, waarin</w:t>
      </w:r>
      <w:r>
        <w:t xml:space="preserve"> we de behaalde </w:t>
      </w:r>
      <w:proofErr w:type="spellStart"/>
      <w:r>
        <w:t>referentieniveau’s</w:t>
      </w:r>
      <w:proofErr w:type="spellEnd"/>
      <w:r>
        <w:t xml:space="preserve"> voor lezen, taalverzorging en rekenen samennemen:</w:t>
      </w:r>
    </w:p>
    <w:p w14:paraId="64D8B04D" w14:textId="6654E358" w:rsidR="00087B12" w:rsidRDefault="00087B12" w:rsidP="00087B12">
      <w:pPr>
        <w:pStyle w:val="Lijstalinea"/>
        <w:numPr>
          <w:ilvl w:val="0"/>
          <w:numId w:val="2"/>
        </w:numPr>
      </w:pPr>
      <w:r>
        <w:t xml:space="preserve">Het percentage leerlingen dat aan het einde van het basisonderwijs het fundamentele niveau 1F haalt voor taal en rekenen. In principe zou elke leerling dit niveau aan het einde van de basisschool moeten beheersen. </w:t>
      </w:r>
    </w:p>
    <w:p w14:paraId="61A29EED" w14:textId="3E8440A3" w:rsidR="00087B12" w:rsidRDefault="00087B12" w:rsidP="00087B12">
      <w:pPr>
        <w:pStyle w:val="Lijstalinea"/>
        <w:numPr>
          <w:ilvl w:val="0"/>
          <w:numId w:val="2"/>
        </w:numPr>
      </w:pPr>
      <w:r>
        <w:t xml:space="preserve">Het percentage leerlingen dat aan het einde van het basisonderwijs het hogere niveau (streefniveau) 1S voor rekenen en 1F voor taalverzorging en lezen haalt. Het streven moet zijn dat zoveel mogelijk leerlingen dit niveau beheersen. </w:t>
      </w:r>
    </w:p>
    <w:p w14:paraId="2F5095FF" w14:textId="79B27DD9" w:rsidR="00087B12" w:rsidRDefault="00087B12" w:rsidP="00087B12"/>
    <w:tbl>
      <w:tblPr>
        <w:tblStyle w:val="Tabelraster"/>
        <w:tblW w:w="0" w:type="auto"/>
        <w:tblLook w:val="04A0" w:firstRow="1" w:lastRow="0" w:firstColumn="1" w:lastColumn="0" w:noHBand="0" w:noVBand="1"/>
      </w:tblPr>
      <w:tblGrid>
        <w:gridCol w:w="2943"/>
        <w:gridCol w:w="2716"/>
      </w:tblGrid>
      <w:tr w:rsidR="00122A8C" w14:paraId="35708638" w14:textId="4E6E7225" w:rsidTr="00087B12">
        <w:tc>
          <w:tcPr>
            <w:tcW w:w="2943" w:type="dxa"/>
          </w:tcPr>
          <w:p w14:paraId="4FC662D1" w14:textId="51BA2CEA" w:rsidR="00122A8C" w:rsidRPr="00087B12" w:rsidRDefault="00122A8C" w:rsidP="00087B12">
            <w:pPr>
              <w:jc w:val="center"/>
              <w:rPr>
                <w:b/>
                <w:bCs/>
                <w:sz w:val="32"/>
                <w:szCs w:val="32"/>
              </w:rPr>
            </w:pPr>
            <w:r w:rsidRPr="00087B12">
              <w:rPr>
                <w:b/>
                <w:bCs/>
                <w:sz w:val="32"/>
                <w:szCs w:val="32"/>
              </w:rPr>
              <w:t>Normen</w:t>
            </w:r>
          </w:p>
        </w:tc>
        <w:tc>
          <w:tcPr>
            <w:tcW w:w="2716" w:type="dxa"/>
          </w:tcPr>
          <w:p w14:paraId="08C9CADD" w14:textId="10D8C00B" w:rsidR="00122A8C" w:rsidRPr="00087B12" w:rsidRDefault="00122A8C" w:rsidP="00087B12">
            <w:pPr>
              <w:jc w:val="center"/>
              <w:rPr>
                <w:b/>
                <w:bCs/>
                <w:sz w:val="32"/>
                <w:szCs w:val="32"/>
              </w:rPr>
            </w:pPr>
            <w:r w:rsidRPr="00087B12">
              <w:rPr>
                <w:b/>
                <w:bCs/>
                <w:sz w:val="32"/>
                <w:szCs w:val="32"/>
              </w:rPr>
              <w:t>DUR</w:t>
            </w:r>
            <w:r>
              <w:rPr>
                <w:b/>
                <w:bCs/>
                <w:sz w:val="32"/>
                <w:szCs w:val="32"/>
              </w:rPr>
              <w:t>F</w:t>
            </w:r>
          </w:p>
        </w:tc>
      </w:tr>
      <w:tr w:rsidR="00122A8C" w14:paraId="299E8EF2" w14:textId="5B632F45" w:rsidTr="000E3C3D">
        <w:tc>
          <w:tcPr>
            <w:tcW w:w="2943" w:type="dxa"/>
          </w:tcPr>
          <w:p w14:paraId="6F1E0167" w14:textId="77777777" w:rsidR="00122A8C" w:rsidRDefault="00122A8C" w:rsidP="00694D99">
            <w:r>
              <w:t>Ambitieniveau 1F 85%</w:t>
            </w:r>
            <w:r w:rsidR="00BC402C">
              <w:t xml:space="preserve"> </w:t>
            </w:r>
          </w:p>
          <w:p w14:paraId="38D9D4CE" w14:textId="039FE908" w:rsidR="00BC402C" w:rsidRDefault="00BC402C" w:rsidP="00694D99">
            <w:r>
              <w:t>Correctiewaarde 80%</w:t>
            </w:r>
          </w:p>
        </w:tc>
        <w:tc>
          <w:tcPr>
            <w:tcW w:w="2716" w:type="dxa"/>
            <w:shd w:val="clear" w:color="auto" w:fill="92D050"/>
            <w:vAlign w:val="center"/>
          </w:tcPr>
          <w:p w14:paraId="17C5C119" w14:textId="03E7E16C" w:rsidR="00122A8C" w:rsidRDefault="001E7427" w:rsidP="00694D99">
            <w:pPr>
              <w:jc w:val="center"/>
            </w:pPr>
            <w:r>
              <w:t>89</w:t>
            </w:r>
            <w:r w:rsidR="00122A8C">
              <w:t>%</w:t>
            </w:r>
          </w:p>
        </w:tc>
      </w:tr>
      <w:tr w:rsidR="00122A8C" w14:paraId="61265B4C" w14:textId="73CCB938" w:rsidTr="00E26352">
        <w:tc>
          <w:tcPr>
            <w:tcW w:w="2943" w:type="dxa"/>
          </w:tcPr>
          <w:p w14:paraId="6C9DA441" w14:textId="77777777" w:rsidR="00122A8C" w:rsidRDefault="00122A8C" w:rsidP="00694D99">
            <w:r>
              <w:t>Streefniveau 1S/2F (afhankelijk van schoolweging)</w:t>
            </w:r>
          </w:p>
          <w:p w14:paraId="5573D1FC" w14:textId="77777777" w:rsidR="00122A8C" w:rsidRDefault="00122A8C" w:rsidP="00694D99"/>
          <w:p w14:paraId="4FCBCD00" w14:textId="1D96C9B2" w:rsidR="00122A8C" w:rsidRDefault="00122A8C" w:rsidP="00694D99">
            <w:r>
              <w:t>33,11 schoolweging</w:t>
            </w:r>
          </w:p>
          <w:p w14:paraId="4D258138" w14:textId="77777777" w:rsidR="00122A8C" w:rsidRDefault="00122A8C" w:rsidP="00694D99">
            <w:r>
              <w:t>Categorie: 33/34</w:t>
            </w:r>
          </w:p>
          <w:p w14:paraId="1CD972CA" w14:textId="77777777" w:rsidR="00122A8C" w:rsidRDefault="00122A8C" w:rsidP="00694D99"/>
          <w:p w14:paraId="42DE95B5" w14:textId="6404F16A" w:rsidR="00122A8C" w:rsidRDefault="00122A8C" w:rsidP="00694D99">
            <w:r>
              <w:t>Streefniveau 1S/2F: 41,5%</w:t>
            </w:r>
            <w:r w:rsidR="00BC402C">
              <w:t xml:space="preserve"> correctiewaarde 33,3%</w:t>
            </w:r>
          </w:p>
        </w:tc>
        <w:tc>
          <w:tcPr>
            <w:tcW w:w="2716" w:type="dxa"/>
            <w:shd w:val="clear" w:color="auto" w:fill="92D050"/>
            <w:vAlign w:val="center"/>
          </w:tcPr>
          <w:p w14:paraId="702218A4" w14:textId="38AE1718" w:rsidR="00122A8C" w:rsidRDefault="001E7427" w:rsidP="00694D99">
            <w:pPr>
              <w:jc w:val="center"/>
            </w:pPr>
            <w:r>
              <w:t>38</w:t>
            </w:r>
            <w:r w:rsidR="00122A8C">
              <w:t>%</w:t>
            </w:r>
          </w:p>
        </w:tc>
      </w:tr>
    </w:tbl>
    <w:p w14:paraId="113BEA05" w14:textId="2136CB65" w:rsidR="00087B12" w:rsidRDefault="00087B12" w:rsidP="00087B12"/>
    <w:p w14:paraId="1E4F7B16" w14:textId="77777777" w:rsidR="00694D99" w:rsidRDefault="00694D99" w:rsidP="00087B12"/>
    <w:tbl>
      <w:tblPr>
        <w:tblStyle w:val="Tabelraster"/>
        <w:tblW w:w="3397" w:type="dxa"/>
        <w:tblLook w:val="04A0" w:firstRow="1" w:lastRow="0" w:firstColumn="1" w:lastColumn="0" w:noHBand="0" w:noVBand="1"/>
      </w:tblPr>
      <w:tblGrid>
        <w:gridCol w:w="1743"/>
        <w:gridCol w:w="904"/>
        <w:gridCol w:w="750"/>
      </w:tblGrid>
      <w:tr w:rsidR="00122A8C" w:rsidRPr="00BC402C" w14:paraId="3A82F217" w14:textId="77777777" w:rsidTr="00122A8C">
        <w:tc>
          <w:tcPr>
            <w:tcW w:w="1743" w:type="dxa"/>
            <w:tcBorders>
              <w:right w:val="thinThickThinSmallGap" w:sz="24" w:space="0" w:color="auto"/>
            </w:tcBorders>
          </w:tcPr>
          <w:p w14:paraId="34E0D0E7" w14:textId="7FD837D7" w:rsidR="00122A8C" w:rsidRDefault="00122A8C">
            <w:r>
              <w:t>Schooljaar</w:t>
            </w:r>
          </w:p>
        </w:tc>
        <w:tc>
          <w:tcPr>
            <w:tcW w:w="1654" w:type="dxa"/>
            <w:gridSpan w:val="2"/>
            <w:tcBorders>
              <w:left w:val="thinThickThinSmallGap" w:sz="24" w:space="0" w:color="auto"/>
            </w:tcBorders>
          </w:tcPr>
          <w:p w14:paraId="00708176" w14:textId="77777777" w:rsidR="00122A8C" w:rsidRDefault="00122A8C">
            <w:pPr>
              <w:rPr>
                <w:lang w:val="en-US"/>
              </w:rPr>
            </w:pPr>
            <w:r w:rsidRPr="00F73ADB">
              <w:rPr>
                <w:lang w:val="en-US"/>
              </w:rPr>
              <w:t xml:space="preserve">Percentage </w:t>
            </w:r>
            <w:proofErr w:type="spellStart"/>
            <w:r w:rsidRPr="00F73ADB">
              <w:rPr>
                <w:lang w:val="en-US"/>
              </w:rPr>
              <w:t>ll</w:t>
            </w:r>
            <w:proofErr w:type="spellEnd"/>
            <w:r w:rsidRPr="00F73ADB">
              <w:rPr>
                <w:lang w:val="en-US"/>
              </w:rPr>
              <w:t xml:space="preserve"> 1F / 1S of</w:t>
            </w:r>
            <w:r>
              <w:rPr>
                <w:lang w:val="en-US"/>
              </w:rPr>
              <w:t xml:space="preserve"> </w:t>
            </w:r>
            <w:r w:rsidRPr="00F73ADB">
              <w:rPr>
                <w:lang w:val="en-US"/>
              </w:rPr>
              <w:t>2F</w:t>
            </w:r>
          </w:p>
          <w:p w14:paraId="2FBB0A02" w14:textId="601F0560" w:rsidR="00122A8C" w:rsidRPr="00F73ADB" w:rsidRDefault="00122A8C">
            <w:pPr>
              <w:rPr>
                <w:lang w:val="en-US"/>
              </w:rPr>
            </w:pPr>
          </w:p>
        </w:tc>
      </w:tr>
      <w:tr w:rsidR="001E7427" w14:paraId="62C7EF04" w14:textId="6047F84B" w:rsidTr="001E7427">
        <w:tc>
          <w:tcPr>
            <w:tcW w:w="1743" w:type="dxa"/>
            <w:tcBorders>
              <w:right w:val="thinThickThinSmallGap" w:sz="24" w:space="0" w:color="auto"/>
            </w:tcBorders>
          </w:tcPr>
          <w:p w14:paraId="4C8E233D" w14:textId="132FEE9E" w:rsidR="001E7427" w:rsidRDefault="001E7427" w:rsidP="001E7427">
            <w:r>
              <w:t>2020-2021</w:t>
            </w:r>
          </w:p>
        </w:tc>
        <w:tc>
          <w:tcPr>
            <w:tcW w:w="904" w:type="dxa"/>
            <w:tcBorders>
              <w:left w:val="thinThickThinSmallGap" w:sz="24" w:space="0" w:color="auto"/>
              <w:right w:val="single" w:sz="4" w:space="0" w:color="auto"/>
            </w:tcBorders>
            <w:shd w:val="clear" w:color="auto" w:fill="92D050"/>
          </w:tcPr>
          <w:p w14:paraId="03EAAE8F" w14:textId="3DF87A87" w:rsidR="001E7427" w:rsidRDefault="001E7427" w:rsidP="001E7427">
            <w:pPr>
              <w:jc w:val="center"/>
            </w:pPr>
            <w:r>
              <w:t xml:space="preserve">91% </w:t>
            </w:r>
          </w:p>
        </w:tc>
        <w:tc>
          <w:tcPr>
            <w:tcW w:w="750" w:type="dxa"/>
            <w:tcBorders>
              <w:left w:val="single" w:sz="4" w:space="0" w:color="auto"/>
            </w:tcBorders>
            <w:shd w:val="clear" w:color="auto" w:fill="92D050"/>
          </w:tcPr>
          <w:p w14:paraId="440D4EB4" w14:textId="0081708D" w:rsidR="001E7427" w:rsidRDefault="001E7427" w:rsidP="001E7427">
            <w:pPr>
              <w:jc w:val="center"/>
            </w:pPr>
            <w:r>
              <w:t>41%</w:t>
            </w:r>
          </w:p>
        </w:tc>
      </w:tr>
      <w:tr w:rsidR="001E7427" w14:paraId="6D6C1F63" w14:textId="7BAAFEE3" w:rsidTr="001E7427">
        <w:tc>
          <w:tcPr>
            <w:tcW w:w="1743" w:type="dxa"/>
            <w:tcBorders>
              <w:right w:val="thinThickThinSmallGap" w:sz="24" w:space="0" w:color="auto"/>
            </w:tcBorders>
          </w:tcPr>
          <w:p w14:paraId="0FEF4902" w14:textId="65CEA096" w:rsidR="001E7427" w:rsidRDefault="001E7427" w:rsidP="001E7427">
            <w:r>
              <w:t>2021-2022</w:t>
            </w:r>
          </w:p>
        </w:tc>
        <w:tc>
          <w:tcPr>
            <w:tcW w:w="904" w:type="dxa"/>
            <w:tcBorders>
              <w:left w:val="thinThickThinSmallGap" w:sz="24" w:space="0" w:color="auto"/>
              <w:right w:val="single" w:sz="4" w:space="0" w:color="auto"/>
            </w:tcBorders>
            <w:shd w:val="clear" w:color="auto" w:fill="92D050"/>
          </w:tcPr>
          <w:p w14:paraId="69D09742" w14:textId="027C8A38" w:rsidR="001E7427" w:rsidRDefault="001E7427" w:rsidP="001E7427">
            <w:pPr>
              <w:jc w:val="center"/>
            </w:pPr>
            <w:r>
              <w:t>94%</w:t>
            </w:r>
          </w:p>
        </w:tc>
        <w:tc>
          <w:tcPr>
            <w:tcW w:w="750" w:type="dxa"/>
            <w:tcBorders>
              <w:left w:val="single" w:sz="4" w:space="0" w:color="auto"/>
            </w:tcBorders>
            <w:shd w:val="clear" w:color="auto" w:fill="FF0000"/>
          </w:tcPr>
          <w:p w14:paraId="6A014293" w14:textId="7ECF43AB" w:rsidR="001E7427" w:rsidRDefault="001E7427" w:rsidP="001E7427">
            <w:pPr>
              <w:jc w:val="center"/>
            </w:pPr>
            <w:r>
              <w:t>40%</w:t>
            </w:r>
          </w:p>
        </w:tc>
      </w:tr>
      <w:tr w:rsidR="001E7427" w14:paraId="13D03427" w14:textId="1A1A46CA" w:rsidTr="001E7427">
        <w:tc>
          <w:tcPr>
            <w:tcW w:w="1743" w:type="dxa"/>
            <w:tcBorders>
              <w:right w:val="thinThickThinSmallGap" w:sz="24" w:space="0" w:color="auto"/>
            </w:tcBorders>
          </w:tcPr>
          <w:p w14:paraId="2EE00680" w14:textId="10E810DF" w:rsidR="001E7427" w:rsidRDefault="001E7427" w:rsidP="001E7427">
            <w:r>
              <w:t>2022-2023</w:t>
            </w:r>
          </w:p>
        </w:tc>
        <w:tc>
          <w:tcPr>
            <w:tcW w:w="904" w:type="dxa"/>
            <w:tcBorders>
              <w:left w:val="thinThickThinSmallGap" w:sz="24" w:space="0" w:color="auto"/>
              <w:right w:val="single" w:sz="4" w:space="0" w:color="auto"/>
            </w:tcBorders>
            <w:shd w:val="clear" w:color="auto" w:fill="92D050"/>
          </w:tcPr>
          <w:p w14:paraId="63661A77" w14:textId="43A04535" w:rsidR="001E7427" w:rsidRDefault="001E7427" w:rsidP="001E7427">
            <w:pPr>
              <w:jc w:val="center"/>
            </w:pPr>
            <w:r>
              <w:t>83%</w:t>
            </w:r>
          </w:p>
        </w:tc>
        <w:tc>
          <w:tcPr>
            <w:tcW w:w="750" w:type="dxa"/>
            <w:tcBorders>
              <w:left w:val="single" w:sz="4" w:space="0" w:color="auto"/>
            </w:tcBorders>
            <w:shd w:val="clear" w:color="auto" w:fill="FF0000"/>
          </w:tcPr>
          <w:p w14:paraId="7D1A752B" w14:textId="768BD3FF" w:rsidR="001E7427" w:rsidRDefault="001E7427" w:rsidP="001E7427">
            <w:pPr>
              <w:jc w:val="center"/>
            </w:pPr>
            <w:r>
              <w:t>34%</w:t>
            </w:r>
          </w:p>
        </w:tc>
      </w:tr>
      <w:tr w:rsidR="001E7427" w14:paraId="7DD6D756" w14:textId="4DBD63E6" w:rsidTr="001E7427">
        <w:tc>
          <w:tcPr>
            <w:tcW w:w="1743" w:type="dxa"/>
            <w:tcBorders>
              <w:right w:val="thinThickThinSmallGap" w:sz="24" w:space="0" w:color="auto"/>
            </w:tcBorders>
          </w:tcPr>
          <w:p w14:paraId="67FD05AF" w14:textId="7E32581C" w:rsidR="001E7427" w:rsidRPr="00694D99" w:rsidRDefault="001E7427" w:rsidP="001E7427">
            <w:pPr>
              <w:rPr>
                <w:b/>
                <w:bCs/>
              </w:rPr>
            </w:pPr>
            <w:r w:rsidRPr="00694D99">
              <w:rPr>
                <w:b/>
                <w:bCs/>
              </w:rPr>
              <w:t xml:space="preserve">Totaal </w:t>
            </w:r>
          </w:p>
        </w:tc>
        <w:tc>
          <w:tcPr>
            <w:tcW w:w="904" w:type="dxa"/>
            <w:tcBorders>
              <w:left w:val="thinThickThinSmallGap" w:sz="24" w:space="0" w:color="auto"/>
              <w:right w:val="single" w:sz="4" w:space="0" w:color="auto"/>
            </w:tcBorders>
            <w:shd w:val="clear" w:color="auto" w:fill="92D050"/>
          </w:tcPr>
          <w:p w14:paraId="70CFF9FD" w14:textId="535567AD" w:rsidR="001E7427" w:rsidRDefault="001E7427" w:rsidP="001E7427">
            <w:pPr>
              <w:jc w:val="center"/>
            </w:pPr>
            <w:r>
              <w:t xml:space="preserve">89% </w:t>
            </w:r>
          </w:p>
        </w:tc>
        <w:tc>
          <w:tcPr>
            <w:tcW w:w="750" w:type="dxa"/>
            <w:tcBorders>
              <w:left w:val="single" w:sz="4" w:space="0" w:color="auto"/>
            </w:tcBorders>
            <w:shd w:val="clear" w:color="auto" w:fill="92D050"/>
          </w:tcPr>
          <w:p w14:paraId="75AE58CD" w14:textId="0E7731FD" w:rsidR="001E7427" w:rsidRDefault="001E7427" w:rsidP="001E7427">
            <w:pPr>
              <w:jc w:val="center"/>
            </w:pPr>
            <w:r>
              <w:t>38%</w:t>
            </w:r>
          </w:p>
        </w:tc>
      </w:tr>
    </w:tbl>
    <w:p w14:paraId="254915C4" w14:textId="3D286A6C" w:rsidR="00694D99" w:rsidRPr="00694D99" w:rsidRDefault="00694D99" w:rsidP="006F0F21"/>
    <w:sectPr w:rsidR="00694D99" w:rsidRPr="00694D99" w:rsidSect="00694D99">
      <w:pgSz w:w="16838" w:h="11906" w:orient="landscape"/>
      <w:pgMar w:top="4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26A43"/>
    <w:multiLevelType w:val="hybridMultilevel"/>
    <w:tmpl w:val="985A49F6"/>
    <w:lvl w:ilvl="0" w:tplc="0C7A219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CB2"/>
    <w:multiLevelType w:val="hybridMultilevel"/>
    <w:tmpl w:val="886C0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F0E5B"/>
    <w:multiLevelType w:val="hybridMultilevel"/>
    <w:tmpl w:val="B68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519284">
    <w:abstractNumId w:val="2"/>
  </w:num>
  <w:num w:numId="2" w16cid:durableId="2015109849">
    <w:abstractNumId w:val="1"/>
  </w:num>
  <w:num w:numId="3" w16cid:durableId="41320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12"/>
    <w:rsid w:val="00087B12"/>
    <w:rsid w:val="000B32E1"/>
    <w:rsid w:val="000E3C3D"/>
    <w:rsid w:val="00122A8C"/>
    <w:rsid w:val="001E7427"/>
    <w:rsid w:val="00473DA8"/>
    <w:rsid w:val="00577238"/>
    <w:rsid w:val="00694D99"/>
    <w:rsid w:val="006F0F21"/>
    <w:rsid w:val="00712564"/>
    <w:rsid w:val="00781070"/>
    <w:rsid w:val="009A2304"/>
    <w:rsid w:val="009E1D69"/>
    <w:rsid w:val="00B715E8"/>
    <w:rsid w:val="00B7492E"/>
    <w:rsid w:val="00BA3D60"/>
    <w:rsid w:val="00BC402C"/>
    <w:rsid w:val="00E26352"/>
    <w:rsid w:val="00F7206C"/>
    <w:rsid w:val="00F73ADB"/>
    <w:rsid w:val="00FA1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DCFD"/>
  <w15:chartTrackingRefBased/>
  <w15:docId w15:val="{F51BAD0A-4B49-194A-893D-F97753DE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7B1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87B1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87B12"/>
    <w:pPr>
      <w:ind w:left="720"/>
      <w:contextualSpacing/>
    </w:pPr>
  </w:style>
  <w:style w:type="table" w:styleId="Tabelraster">
    <w:name w:val="Table Grid"/>
    <w:basedOn w:val="Standaardtabel"/>
    <w:uiPriority w:val="39"/>
    <w:rsid w:val="0008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932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daphne Buijsrogge-Ruijs</dc:creator>
  <cp:keywords/>
  <dc:description/>
  <cp:lastModifiedBy>Hans Buijsrogge</cp:lastModifiedBy>
  <cp:revision>3</cp:revision>
  <cp:lastPrinted>2022-05-18T12:10:00Z</cp:lastPrinted>
  <dcterms:created xsi:type="dcterms:W3CDTF">2023-05-17T15:40:00Z</dcterms:created>
  <dcterms:modified xsi:type="dcterms:W3CDTF">2023-05-24T08:00:00Z</dcterms:modified>
</cp:coreProperties>
</file>