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52AF6" w:rsidP="00FB15D8" w:rsidRDefault="00FB15D8" w14:paraId="44002C98" w14:textId="77777777">
      <w:pPr>
        <w:rPr>
          <w:noProof/>
        </w:rPr>
      </w:pPr>
      <w:r>
        <w:rPr>
          <w:b/>
          <w:color w:val="0070C0"/>
          <w:sz w:val="28"/>
          <w:szCs w:val="28"/>
        </w:rPr>
        <w:t>Kwaliteits</w:t>
      </w:r>
      <w:r w:rsidRPr="008435E8" w:rsidR="008435E8">
        <w:rPr>
          <w:b/>
          <w:color w:val="0070C0"/>
          <w:sz w:val="28"/>
          <w:szCs w:val="28"/>
        </w:rPr>
        <w:t xml:space="preserve">kaart </w:t>
      </w:r>
    </w:p>
    <w:p w:rsidR="00FB15D8" w:rsidP="00FB15D8" w:rsidRDefault="00FB15D8" w14:paraId="672A6659" w14:textId="77777777">
      <w:pPr>
        <w:rPr>
          <w:b/>
          <w:color w:val="0070C0"/>
          <w:sz w:val="28"/>
          <w:szCs w:val="28"/>
        </w:rPr>
      </w:pPr>
      <w:r>
        <w:rPr>
          <w:noProof/>
          <w:lang w:eastAsia="nl-NL"/>
        </w:rPr>
        <w:drawing>
          <wp:inline distT="0" distB="0" distL="0" distR="0" wp14:anchorId="2AE0AD34" wp14:editId="07777777">
            <wp:extent cx="390525" cy="3905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531"/>
        <w:gridCol w:w="4531"/>
      </w:tblGrid>
      <w:tr w:rsidR="00FB15D8" w:rsidTr="725863A2" w14:paraId="2DEFEB15" w14:textId="77777777">
        <w:tc>
          <w:tcPr>
            <w:tcW w:w="4531" w:type="dxa"/>
            <w:tcMar/>
          </w:tcPr>
          <w:p w:rsidRPr="00EE7BAA" w:rsidR="00FB15D8" w:rsidP="00697FFD" w:rsidRDefault="00FB15D8" w14:paraId="0B4B91D0" w14:textId="77777777">
            <w:pPr>
              <w:rPr>
                <w:b/>
                <w:color w:val="0070C0"/>
                <w:sz w:val="24"/>
                <w:szCs w:val="24"/>
              </w:rPr>
            </w:pPr>
            <w:r w:rsidRPr="00EE7BAA">
              <w:rPr>
                <w:b/>
                <w:color w:val="0070C0"/>
                <w:sz w:val="24"/>
                <w:szCs w:val="24"/>
              </w:rPr>
              <w:t>Kaart</w:t>
            </w:r>
          </w:p>
        </w:tc>
        <w:tc>
          <w:tcPr>
            <w:tcW w:w="4531" w:type="dxa"/>
            <w:tcMar/>
          </w:tcPr>
          <w:p w:rsidRPr="00EE7BAA" w:rsidR="00FB15D8" w:rsidP="00697FFD" w:rsidRDefault="00505242" w14:paraId="086D40D8" w14:textId="77777777">
            <w:pPr>
              <w:rPr>
                <w:b/>
                <w:color w:val="0070C0"/>
                <w:sz w:val="24"/>
                <w:szCs w:val="24"/>
              </w:rPr>
            </w:pPr>
            <w:r>
              <w:rPr>
                <w:b/>
                <w:color w:val="0070C0"/>
                <w:sz w:val="24"/>
                <w:szCs w:val="24"/>
              </w:rPr>
              <w:t>Sociale veiligheid</w:t>
            </w:r>
          </w:p>
        </w:tc>
      </w:tr>
      <w:tr w:rsidR="00FB15D8" w:rsidTr="725863A2" w14:paraId="018333FF" w14:textId="77777777">
        <w:tc>
          <w:tcPr>
            <w:tcW w:w="4531" w:type="dxa"/>
            <w:tcMar/>
          </w:tcPr>
          <w:p w:rsidRPr="00EE7BAA" w:rsidR="00FB15D8" w:rsidP="00697FFD" w:rsidRDefault="00FB15D8" w14:paraId="7AE75326" w14:textId="77777777">
            <w:pPr>
              <w:rPr>
                <w:b/>
                <w:color w:val="0070C0"/>
                <w:sz w:val="24"/>
                <w:szCs w:val="24"/>
              </w:rPr>
            </w:pPr>
            <w:r w:rsidRPr="00EE7BAA">
              <w:rPr>
                <w:b/>
                <w:color w:val="0070C0"/>
                <w:sz w:val="24"/>
                <w:szCs w:val="24"/>
              </w:rPr>
              <w:t>Verantwoordelijke</w:t>
            </w:r>
          </w:p>
        </w:tc>
        <w:tc>
          <w:tcPr>
            <w:tcW w:w="4531" w:type="dxa"/>
            <w:tcMar/>
          </w:tcPr>
          <w:p w:rsidRPr="00EE7BAA" w:rsidR="00FB15D8" w:rsidP="00697FFD" w:rsidRDefault="00505242" w14:paraId="3BD37487" w14:textId="77777777">
            <w:pPr>
              <w:rPr>
                <w:b/>
                <w:color w:val="0070C0"/>
                <w:sz w:val="24"/>
                <w:szCs w:val="24"/>
              </w:rPr>
            </w:pPr>
            <w:r>
              <w:rPr>
                <w:b/>
                <w:color w:val="0070C0"/>
                <w:sz w:val="24"/>
                <w:szCs w:val="24"/>
              </w:rPr>
              <w:t>Werkgroep sociale veiligheid</w:t>
            </w:r>
          </w:p>
        </w:tc>
      </w:tr>
      <w:tr w:rsidR="00FB15D8" w:rsidTr="725863A2" w14:paraId="3FA8EAD2" w14:textId="77777777">
        <w:tc>
          <w:tcPr>
            <w:tcW w:w="4531" w:type="dxa"/>
            <w:tcMar/>
          </w:tcPr>
          <w:p w:rsidRPr="00EE7BAA" w:rsidR="00FB15D8" w:rsidP="00697FFD" w:rsidRDefault="00FB15D8" w14:paraId="2F3C787C" w14:textId="77777777">
            <w:pPr>
              <w:rPr>
                <w:b/>
                <w:color w:val="0070C0"/>
                <w:sz w:val="24"/>
                <w:szCs w:val="24"/>
              </w:rPr>
            </w:pPr>
            <w:r w:rsidRPr="00EE7BAA">
              <w:rPr>
                <w:b/>
                <w:color w:val="0070C0"/>
                <w:sz w:val="24"/>
                <w:szCs w:val="24"/>
              </w:rPr>
              <w:t>Geëvalueerd</w:t>
            </w:r>
          </w:p>
        </w:tc>
        <w:tc>
          <w:tcPr>
            <w:tcW w:w="4531" w:type="dxa"/>
            <w:tcMar/>
          </w:tcPr>
          <w:p w:rsidRPr="00EE7BAA" w:rsidR="00FB15D8" w:rsidP="3403BEBF" w:rsidRDefault="681AF553" w14:paraId="02706B77" w14:textId="5ED82ADB">
            <w:pPr>
              <w:rPr>
                <w:b/>
                <w:bCs/>
                <w:color w:val="0070C0"/>
                <w:sz w:val="24"/>
                <w:szCs w:val="24"/>
              </w:rPr>
            </w:pPr>
            <w:r w:rsidRPr="3403BEBF">
              <w:rPr>
                <w:b/>
                <w:bCs/>
                <w:color w:val="0070C0"/>
                <w:sz w:val="24"/>
                <w:szCs w:val="24"/>
              </w:rPr>
              <w:t>4-10-2022</w:t>
            </w:r>
          </w:p>
        </w:tc>
      </w:tr>
      <w:tr w:rsidR="00FB15D8" w:rsidTr="725863A2" w14:paraId="67D33688" w14:textId="77777777">
        <w:tc>
          <w:tcPr>
            <w:tcW w:w="9062" w:type="dxa"/>
            <w:gridSpan w:val="2"/>
            <w:tcMar/>
          </w:tcPr>
          <w:p w:rsidR="00FB15D8" w:rsidP="3403BEBF" w:rsidRDefault="183C9C99" w14:paraId="0D4FE4D6" w14:textId="77777777">
            <w:pPr>
              <w:rPr>
                <w:b/>
                <w:bCs/>
                <w:color w:val="0070C0"/>
                <w:sz w:val="24"/>
                <w:szCs w:val="24"/>
              </w:rPr>
            </w:pPr>
            <w:r w:rsidRPr="3403BEBF">
              <w:rPr>
                <w:b/>
                <w:bCs/>
                <w:color w:val="0070C0"/>
                <w:sz w:val="24"/>
                <w:szCs w:val="24"/>
              </w:rPr>
              <w:t>Doel</w:t>
            </w:r>
          </w:p>
          <w:p w:rsidR="0062169A" w:rsidP="3403BEBF" w:rsidRDefault="0062169A" w14:paraId="0A37501D" w14:textId="77777777">
            <w:pPr>
              <w:rPr>
                <w:b/>
                <w:bCs/>
                <w:color w:val="0070C0"/>
                <w:sz w:val="24"/>
                <w:szCs w:val="24"/>
              </w:rPr>
            </w:pPr>
          </w:p>
          <w:p w:rsidR="00505242" w:rsidP="00697FFD" w:rsidRDefault="325E49A6" w14:paraId="40EF6528" w14:textId="77777777">
            <w:pPr>
              <w:rPr>
                <w:sz w:val="24"/>
                <w:szCs w:val="24"/>
              </w:rPr>
            </w:pPr>
            <w:r w:rsidRPr="3403BEBF">
              <w:rPr>
                <w:sz w:val="24"/>
                <w:szCs w:val="24"/>
              </w:rPr>
              <w:t xml:space="preserve">De leerlingen voelen zich </w:t>
            </w:r>
            <w:r w:rsidRPr="3403BEBF" w:rsidR="2328E35E">
              <w:rPr>
                <w:sz w:val="24"/>
                <w:szCs w:val="24"/>
              </w:rPr>
              <w:t xml:space="preserve">op </w:t>
            </w:r>
            <w:r w:rsidRPr="3403BEBF">
              <w:rPr>
                <w:sz w:val="24"/>
                <w:szCs w:val="24"/>
              </w:rPr>
              <w:t xml:space="preserve">sociaal, psychisch en fysiek </w:t>
            </w:r>
            <w:r w:rsidRPr="3403BEBF" w:rsidR="1E55126B">
              <w:rPr>
                <w:sz w:val="24"/>
                <w:szCs w:val="24"/>
              </w:rPr>
              <w:t xml:space="preserve">gebied </w:t>
            </w:r>
            <w:r w:rsidRPr="3403BEBF">
              <w:rPr>
                <w:sz w:val="24"/>
                <w:szCs w:val="24"/>
              </w:rPr>
              <w:t>veilig op school.</w:t>
            </w:r>
          </w:p>
          <w:p w:rsidR="00505242" w:rsidP="00697FFD" w:rsidRDefault="325E49A6" w14:paraId="53E5B5E2" w14:textId="77777777">
            <w:pPr>
              <w:rPr>
                <w:sz w:val="24"/>
                <w:szCs w:val="24"/>
              </w:rPr>
            </w:pPr>
            <w:r w:rsidRPr="3403BEBF">
              <w:rPr>
                <w:sz w:val="24"/>
                <w:szCs w:val="24"/>
              </w:rPr>
              <w:t>Er is een veilige en positieve sfeer op school.</w:t>
            </w:r>
          </w:p>
          <w:p w:rsidR="0011274F" w:rsidP="00697FFD" w:rsidRDefault="1E55126B" w14:paraId="50B616A8" w14:textId="77777777">
            <w:pPr>
              <w:rPr>
                <w:sz w:val="24"/>
                <w:szCs w:val="24"/>
              </w:rPr>
            </w:pPr>
            <w:r w:rsidRPr="3403BEBF">
              <w:rPr>
                <w:sz w:val="24"/>
                <w:szCs w:val="24"/>
              </w:rPr>
              <w:t>De school treedt op tegen pesten, uitschelden, discriminatie, geweld en andere vormen van onaangepast gedrag, en voorkomt deze zoveel mogelijk.</w:t>
            </w:r>
          </w:p>
          <w:p w:rsidRPr="00505242" w:rsidR="003A3A8F" w:rsidP="00697FFD" w:rsidRDefault="003A3A8F" w14:paraId="5DAB6C7B" w14:textId="77777777">
            <w:pPr>
              <w:rPr>
                <w:sz w:val="24"/>
                <w:szCs w:val="24"/>
              </w:rPr>
            </w:pPr>
          </w:p>
        </w:tc>
      </w:tr>
      <w:tr w:rsidR="00FB15D8" w:rsidTr="725863A2" w14:paraId="736918FA" w14:textId="77777777">
        <w:tc>
          <w:tcPr>
            <w:tcW w:w="9062" w:type="dxa"/>
            <w:gridSpan w:val="2"/>
            <w:tcMar/>
          </w:tcPr>
          <w:p w:rsidR="00FB15D8" w:rsidP="3403BEBF" w:rsidRDefault="183C9C99" w14:paraId="7AC1B507" w14:textId="77777777">
            <w:pPr>
              <w:rPr>
                <w:b/>
                <w:bCs/>
                <w:color w:val="0070C0"/>
                <w:sz w:val="24"/>
                <w:szCs w:val="24"/>
              </w:rPr>
            </w:pPr>
            <w:r w:rsidRPr="3403BEBF">
              <w:rPr>
                <w:b/>
                <w:bCs/>
                <w:color w:val="0070C0"/>
                <w:sz w:val="24"/>
                <w:szCs w:val="24"/>
              </w:rPr>
              <w:t>Aanpak</w:t>
            </w:r>
          </w:p>
          <w:p w:rsidR="0062169A" w:rsidP="3403BEBF" w:rsidRDefault="0062169A" w14:paraId="02EB378F" w14:textId="77777777">
            <w:pPr>
              <w:rPr>
                <w:b/>
                <w:bCs/>
                <w:color w:val="0070C0"/>
                <w:sz w:val="24"/>
                <w:szCs w:val="24"/>
              </w:rPr>
            </w:pPr>
          </w:p>
          <w:p w:rsidR="0064044D" w:rsidP="3403BEBF" w:rsidRDefault="70B8A0B6" w14:paraId="6A55DDD9" w14:textId="77777777">
            <w:pPr>
              <w:rPr>
                <w:rFonts w:eastAsiaTheme="minorEastAsia"/>
                <w:color w:val="000000"/>
                <w:sz w:val="24"/>
                <w:szCs w:val="24"/>
                <w:shd w:val="clear" w:color="auto" w:fill="FFFFFF"/>
              </w:rPr>
            </w:pPr>
            <w:r w:rsidRPr="3403BEBF">
              <w:rPr>
                <w:rFonts w:eastAsiaTheme="minorEastAsia"/>
                <w:color w:val="000000"/>
                <w:sz w:val="24"/>
                <w:szCs w:val="24"/>
                <w:shd w:val="clear" w:color="auto" w:fill="FFFFFF"/>
              </w:rPr>
              <w:t>Een school is veilig als de sociale, psychische en fysieke veiligheid van leerlingen niet door handelingen van anderen wordt aangetast. Dat betekent dat er een veilige en positieve sfeer is op school. Het betekent ook dat de school optreedt tegen pesten, uitschelden, discriminatie, geweld en andere vormen van ongepast gedrag, en deze zoveel mogelijk voorkomt.</w:t>
            </w:r>
          </w:p>
          <w:p w:rsidR="00C60337" w:rsidP="3403BEBF" w:rsidRDefault="560A1668" w14:paraId="53F1906D" w14:textId="77777777">
            <w:pPr>
              <w:pStyle w:val="NormalWeb"/>
              <w:shd w:val="clear" w:color="auto" w:fill="FFFFFF" w:themeFill="background1"/>
              <w:spacing w:before="0" w:beforeAutospacing="0" w:after="300" w:afterAutospacing="0"/>
              <w:rPr>
                <w:rFonts w:asciiTheme="minorHAnsi" w:hAnsiTheme="minorHAnsi" w:eastAsiaTheme="minorEastAsia" w:cstheme="minorBidi"/>
                <w:color w:val="000000"/>
              </w:rPr>
            </w:pPr>
            <w:r w:rsidRPr="3403BEBF">
              <w:rPr>
                <w:rFonts w:asciiTheme="minorHAnsi" w:hAnsiTheme="minorHAnsi" w:eastAsiaTheme="minorEastAsia" w:cstheme="minorBidi"/>
                <w:color w:val="000000" w:themeColor="text1"/>
              </w:rPr>
              <w:t xml:space="preserve">Voor iedereen moet de school een veilige en vertrouwde omgeving zijn, waar je met plezier naartoe gaat. Een open en respectvolle houding naar elkaar is daarom van groot belang. Waar normen en waarden geschonden worden, grijpen we in. Discriminatie of pestgedrag wordt niet getolereerd. We zijn hier alert op en doen er alles aan dit te voorkomen. Meestal lost de school het probleem samen met de betreffende kinderen of personeelsleden op. Maar in bepaalde gevallen, bijvoorbeeld als er sprake is van fysiek of extreem verbaal geweld, is overleg tussen de betrokken partijen nodig. Fysiek geweld accepteren we van niemand. </w:t>
            </w:r>
          </w:p>
          <w:p w:rsidR="00FB1567" w:rsidP="3403BEBF" w:rsidRDefault="5E182F23" w14:paraId="69870B03" w14:textId="55E5CAC9">
            <w:pPr>
              <w:pStyle w:val="NormalWeb"/>
              <w:shd w:val="clear" w:color="auto" w:fill="FFFFFF" w:themeFill="background1"/>
              <w:spacing w:before="0" w:beforeAutospacing="0" w:after="300" w:afterAutospacing="0"/>
              <w:rPr>
                <w:rFonts w:asciiTheme="minorHAnsi" w:hAnsiTheme="minorHAnsi" w:eastAsiaTheme="minorEastAsia" w:cstheme="minorBidi"/>
              </w:rPr>
            </w:pPr>
            <w:r w:rsidRPr="3403BEBF">
              <w:rPr>
                <w:rFonts w:asciiTheme="minorHAnsi" w:hAnsiTheme="minorHAnsi" w:eastAsiaTheme="minorEastAsia" w:cstheme="minorBidi"/>
              </w:rPr>
              <w:t xml:space="preserve">De school hanteert een </w:t>
            </w:r>
            <w:r w:rsidRPr="3403BEBF" w:rsidR="0A63EEC3">
              <w:rPr>
                <w:rFonts w:asciiTheme="minorHAnsi" w:hAnsiTheme="minorHAnsi" w:eastAsiaTheme="minorEastAsia" w:cstheme="minorBidi"/>
              </w:rPr>
              <w:t>gedragsprotocol</w:t>
            </w:r>
            <w:r w:rsidRPr="3403BEBF" w:rsidR="5F076BA1">
              <w:rPr>
                <w:rFonts w:asciiTheme="minorHAnsi" w:hAnsiTheme="minorHAnsi" w:eastAsiaTheme="minorEastAsia" w:cstheme="minorBidi"/>
              </w:rPr>
              <w:t xml:space="preserve">. </w:t>
            </w:r>
            <w:r w:rsidRPr="3403BEBF" w:rsidR="47CC4C01">
              <w:rPr>
                <w:rFonts w:asciiTheme="minorHAnsi" w:hAnsiTheme="minorHAnsi" w:eastAsiaTheme="minorEastAsia" w:cstheme="minorBidi"/>
              </w:rPr>
              <w:t>Het</w:t>
            </w:r>
            <w:r w:rsidRPr="3403BEBF" w:rsidR="70EE288B">
              <w:rPr>
                <w:rFonts w:asciiTheme="minorHAnsi" w:hAnsiTheme="minorHAnsi" w:eastAsiaTheme="minorEastAsia" w:cstheme="minorBidi"/>
              </w:rPr>
              <w:t xml:space="preserve"> gedragsprotocol is ook gepubliceerd op de website van de school.</w:t>
            </w:r>
          </w:p>
          <w:p w:rsidR="274E936C" w:rsidP="3403BEBF" w:rsidRDefault="47E705D3" w14:paraId="2B0BFA01" w14:textId="7F02E7B7">
            <w:pPr>
              <w:rPr>
                <w:rFonts w:eastAsiaTheme="minorEastAsia"/>
                <w:sz w:val="24"/>
                <w:szCs w:val="24"/>
              </w:rPr>
            </w:pPr>
            <w:r w:rsidRPr="3403BEBF">
              <w:rPr>
                <w:rFonts w:eastAsiaTheme="minorEastAsia"/>
                <w:sz w:val="24"/>
                <w:szCs w:val="24"/>
              </w:rPr>
              <w:t>Door preventief te werken wordt ernaar gestreefd te voorkomen dat dit protocol moet worden ingezet.  De schoolregels hangen zichtbaar in iedere groep en in algemene ruimtes in de school. In de groepen zijn daarnaast de klassenregels zichtbaar.  Deze school- en klassenregels worden regelmatig besproken in de groep.  Door het geven van heldere gedragsinstructies (wat willen we wèl zien?), positieve bekrachtigers (benoemen van het gewenste gedrag dat je ziet), complimenten geven en belonen van gewenst (groeps-)gedrag wordt preventief gewerkt aan positief gedrag in de klas en de school.  Naast bovenstaande wordt er in de groepen veel aandacht besteed aan de sociaal emotionele ontwikkeling van de leerlingen. In de eerste weken van het schooljaar, de zogenaamde ‘Gouden weken’ is er veel aandacht voor de groepsvorming. Door het jaar heen worden lessen sociaal emotionele vorming gegeven vanuit de methode ‘</w:t>
            </w:r>
            <w:r w:rsidRPr="3403BEBF" w:rsidR="2110FD23">
              <w:rPr>
                <w:rFonts w:eastAsiaTheme="minorEastAsia"/>
                <w:sz w:val="24"/>
                <w:szCs w:val="24"/>
              </w:rPr>
              <w:t>Kwink</w:t>
            </w:r>
            <w:r w:rsidRPr="3403BEBF">
              <w:rPr>
                <w:rFonts w:eastAsiaTheme="minorEastAsia"/>
                <w:sz w:val="24"/>
                <w:szCs w:val="24"/>
              </w:rPr>
              <w:t xml:space="preserve">’. Door middel van de Sociale Competentie </w:t>
            </w:r>
            <w:r w:rsidRPr="3403BEBF" w:rsidR="35A89BC4">
              <w:rPr>
                <w:rFonts w:eastAsiaTheme="minorEastAsia"/>
                <w:sz w:val="24"/>
                <w:szCs w:val="24"/>
              </w:rPr>
              <w:t>observatie</w:t>
            </w:r>
            <w:r w:rsidRPr="3403BEBF">
              <w:rPr>
                <w:rFonts w:eastAsiaTheme="minorEastAsia"/>
                <w:sz w:val="24"/>
                <w:szCs w:val="24"/>
              </w:rPr>
              <w:t xml:space="preserve">lijst </w:t>
            </w:r>
            <w:r w:rsidRPr="3403BEBF" w:rsidR="35A89BC4">
              <w:rPr>
                <w:rFonts w:eastAsiaTheme="minorEastAsia"/>
                <w:sz w:val="24"/>
                <w:szCs w:val="24"/>
              </w:rPr>
              <w:t xml:space="preserve">(SCOL) </w:t>
            </w:r>
            <w:r w:rsidRPr="3403BEBF">
              <w:rPr>
                <w:rFonts w:eastAsiaTheme="minorEastAsia"/>
                <w:sz w:val="24"/>
                <w:szCs w:val="24"/>
              </w:rPr>
              <w:t>wordt de sociaal emotionele ontwikkeling van kinderen gevolgd</w:t>
            </w:r>
            <w:r w:rsidRPr="3403BEBF" w:rsidR="35A89BC4">
              <w:rPr>
                <w:rFonts w:eastAsiaTheme="minorEastAsia"/>
                <w:sz w:val="24"/>
                <w:szCs w:val="24"/>
              </w:rPr>
              <w:t>. O</w:t>
            </w:r>
            <w:r w:rsidRPr="3403BEBF">
              <w:rPr>
                <w:rFonts w:eastAsiaTheme="minorEastAsia"/>
                <w:sz w:val="24"/>
                <w:szCs w:val="24"/>
              </w:rPr>
              <w:t xml:space="preserve">p basis van uitkomsten hiervan wordt het aanbod in de klassen afgestemd op wat er nodig is voor de betreffende groep of individuele leerling.  </w:t>
            </w:r>
          </w:p>
          <w:p w:rsidR="009F74F4" w:rsidP="3403BEBF" w:rsidRDefault="009F74F4" w14:paraId="29CBD35A" w14:textId="77777777">
            <w:pPr>
              <w:rPr>
                <w:rFonts w:eastAsiaTheme="minorEastAsia"/>
                <w:sz w:val="24"/>
                <w:szCs w:val="24"/>
              </w:rPr>
            </w:pPr>
          </w:p>
          <w:p w:rsidR="009F74F4" w:rsidP="3403BEBF" w:rsidRDefault="00E66ADE" w14:paraId="63919AF5" w14:textId="36C70E0B">
            <w:pPr>
              <w:pStyle w:val="paragraph"/>
              <w:spacing w:before="0" w:beforeAutospacing="0" w:after="0" w:afterAutospacing="0"/>
              <w:textAlignment w:val="baseline"/>
              <w:rPr>
                <w:rStyle w:val="eop"/>
                <w:rFonts w:asciiTheme="minorHAnsi" w:hAnsiTheme="minorHAnsi" w:eastAsiaTheme="minorEastAsia" w:cstheme="minorBidi"/>
              </w:rPr>
            </w:pPr>
            <w:r w:rsidRPr="3403BEBF">
              <w:rPr>
                <w:rStyle w:val="normaltextrun"/>
                <w:rFonts w:asciiTheme="minorHAnsi" w:hAnsiTheme="minorHAnsi" w:eastAsiaTheme="minorEastAsia" w:cstheme="minorBidi"/>
              </w:rPr>
              <w:t>In geval van ongewenst gedrag in de groep</w:t>
            </w:r>
            <w:r w:rsidRPr="3403BEBF" w:rsidR="009F74F4">
              <w:rPr>
                <w:rStyle w:val="normaltextrun"/>
                <w:rFonts w:asciiTheme="minorHAnsi" w:hAnsiTheme="minorHAnsi" w:eastAsiaTheme="minorEastAsia" w:cstheme="minorBidi"/>
              </w:rPr>
              <w:t xml:space="preserve"> </w:t>
            </w:r>
            <w:r w:rsidRPr="3403BEBF" w:rsidR="00647CDA">
              <w:rPr>
                <w:rStyle w:val="normaltextrun"/>
                <w:rFonts w:asciiTheme="minorHAnsi" w:hAnsiTheme="minorHAnsi" w:eastAsiaTheme="minorEastAsia" w:cstheme="minorBidi"/>
              </w:rPr>
              <w:t xml:space="preserve">neemt de </w:t>
            </w:r>
            <w:r w:rsidRPr="3403BEBF" w:rsidR="009F74F4">
              <w:rPr>
                <w:rStyle w:val="normaltextrun"/>
                <w:rFonts w:asciiTheme="minorHAnsi" w:hAnsiTheme="minorHAnsi" w:eastAsiaTheme="minorEastAsia" w:cstheme="minorBidi"/>
              </w:rPr>
              <w:t>groepsleraar pedagogische maatregelen om het gedrag van de leerling zodanig te corrigeren dat de leerling, binnen afzienbare tijd, weer kan deelnemen aan de groepsactiviteiten. De pedagogische maatregelen vinden plaats in de groep. Er wordt rekening gehouden met leeftijd en gebeurtenis.</w:t>
            </w:r>
            <w:r w:rsidRPr="3403BEBF" w:rsidR="009F74F4">
              <w:rPr>
                <w:rStyle w:val="eop"/>
                <w:rFonts w:asciiTheme="minorHAnsi" w:hAnsiTheme="minorHAnsi" w:eastAsiaTheme="minorEastAsia" w:cstheme="minorBidi"/>
              </w:rPr>
              <w:t> </w:t>
            </w:r>
            <w:r w:rsidRPr="3403BEBF" w:rsidR="003B5766">
              <w:rPr>
                <w:rStyle w:val="eop"/>
                <w:rFonts w:asciiTheme="minorHAnsi" w:hAnsiTheme="minorHAnsi" w:eastAsiaTheme="minorEastAsia" w:cstheme="minorBidi"/>
              </w:rPr>
              <w:t xml:space="preserve">Indien nodig krijgt de leerling een korte time-out in een vooraf afgesproken </w:t>
            </w:r>
            <w:r w:rsidRPr="3403BEBF" w:rsidR="006D04F4">
              <w:rPr>
                <w:rStyle w:val="eop"/>
                <w:rFonts w:asciiTheme="minorHAnsi" w:hAnsiTheme="minorHAnsi" w:eastAsiaTheme="minorEastAsia" w:cstheme="minorBidi"/>
              </w:rPr>
              <w:t>groep</w:t>
            </w:r>
            <w:r w:rsidRPr="3403BEBF" w:rsidR="00341C2D">
              <w:rPr>
                <w:rStyle w:val="eop"/>
                <w:rFonts w:asciiTheme="minorHAnsi" w:hAnsiTheme="minorHAnsi" w:eastAsiaTheme="minorEastAsia" w:cstheme="minorBidi"/>
              </w:rPr>
              <w:t xml:space="preserve">. </w:t>
            </w:r>
          </w:p>
          <w:p w:rsidRPr="000A37DF" w:rsidR="00543750" w:rsidP="3403BEBF" w:rsidRDefault="00341C2D" w14:paraId="49DE3ADC" w14:textId="0DED44C4">
            <w:pPr>
              <w:pStyle w:val="paragraph"/>
              <w:spacing w:before="0" w:beforeAutospacing="0" w:after="0" w:afterAutospacing="0"/>
              <w:textAlignment w:val="baseline"/>
              <w:rPr>
                <w:rFonts w:asciiTheme="minorHAnsi" w:hAnsiTheme="minorHAnsi" w:eastAsiaTheme="minorEastAsia" w:cstheme="minorBidi"/>
              </w:rPr>
            </w:pPr>
            <w:r w:rsidRPr="3403BEBF">
              <w:rPr>
                <w:rStyle w:val="eop"/>
                <w:rFonts w:asciiTheme="minorHAnsi" w:hAnsiTheme="minorHAnsi" w:eastAsiaTheme="minorEastAsia" w:cstheme="minorBidi"/>
              </w:rPr>
              <w:t>Ouders worden op de hoogte gesteld</w:t>
            </w:r>
            <w:r w:rsidRPr="3403BEBF" w:rsidR="00D35C2F">
              <w:rPr>
                <w:rStyle w:val="eop"/>
                <w:rFonts w:asciiTheme="minorHAnsi" w:hAnsiTheme="minorHAnsi" w:eastAsiaTheme="minorEastAsia" w:cstheme="minorBidi"/>
              </w:rPr>
              <w:t xml:space="preserve"> en er wordt een </w:t>
            </w:r>
            <w:r w:rsidRPr="3403BEBF" w:rsidR="000A37DF">
              <w:rPr>
                <w:rStyle w:val="eop"/>
                <w:rFonts w:asciiTheme="minorHAnsi" w:hAnsiTheme="minorHAnsi" w:eastAsiaTheme="minorEastAsia" w:cstheme="minorBidi"/>
              </w:rPr>
              <w:t xml:space="preserve">aantekening in ESIS gezet. Na drie keer is het herhaaldelijk en </w:t>
            </w:r>
            <w:r w:rsidRPr="3403BEBF" w:rsidR="00E759A6">
              <w:rPr>
                <w:rFonts w:asciiTheme="minorHAnsi" w:hAnsiTheme="minorHAnsi" w:eastAsiaTheme="minorEastAsia" w:cstheme="minorBidi"/>
              </w:rPr>
              <w:t xml:space="preserve">treedt het gedragsprotocol in werking. </w:t>
            </w:r>
          </w:p>
          <w:p w:rsidRPr="00945789" w:rsidR="009F74F4" w:rsidP="3403BEBF" w:rsidRDefault="009F74F4" w14:paraId="11862DA4" w14:textId="77777777">
            <w:pPr>
              <w:rPr>
                <w:rFonts w:eastAsiaTheme="minorEastAsia"/>
                <w:sz w:val="24"/>
                <w:szCs w:val="24"/>
              </w:rPr>
            </w:pPr>
          </w:p>
          <w:p w:rsidRPr="00964E62" w:rsidR="008B07AC" w:rsidP="3403BEBF" w:rsidRDefault="6EB47185" w14:paraId="2E14960A" w14:textId="77777777">
            <w:pPr>
              <w:pStyle w:val="NormalWeb"/>
              <w:shd w:val="clear" w:color="auto" w:fill="FFFFFF" w:themeFill="background1"/>
              <w:spacing w:before="0" w:beforeAutospacing="0" w:after="300" w:afterAutospacing="0"/>
              <w:rPr>
                <w:rFonts w:asciiTheme="minorHAnsi" w:hAnsiTheme="minorHAnsi" w:eastAsiaTheme="minorEastAsia" w:cstheme="minorBidi"/>
                <w:color w:val="000000"/>
                <w:u w:val="single"/>
              </w:rPr>
            </w:pPr>
            <w:r w:rsidRPr="3403BEBF">
              <w:rPr>
                <w:rFonts w:asciiTheme="minorHAnsi" w:hAnsiTheme="minorHAnsi" w:eastAsiaTheme="minorEastAsia" w:cstheme="minorBidi"/>
                <w:color w:val="000000" w:themeColor="text1"/>
                <w:u w:val="single"/>
              </w:rPr>
              <w:t>Werkgroep sociale veiligheid:</w:t>
            </w:r>
          </w:p>
          <w:p w:rsidR="008B07AC" w:rsidP="3403BEBF" w:rsidRDefault="23D6D86F" w14:paraId="6B6E96FC" w14:textId="7E3FB6E9">
            <w:pPr>
              <w:pStyle w:val="NormalWeb"/>
              <w:numPr>
                <w:ilvl w:val="0"/>
                <w:numId w:val="1"/>
              </w:numPr>
              <w:shd w:val="clear" w:color="auto" w:fill="FFFFFF" w:themeFill="background1"/>
              <w:spacing w:before="0" w:beforeAutospacing="0" w:after="300" w:afterAutospacing="0"/>
              <w:rPr>
                <w:rFonts w:asciiTheme="minorHAnsi" w:hAnsiTheme="minorHAnsi" w:eastAsiaTheme="minorEastAsia" w:cstheme="minorBidi"/>
                <w:color w:val="000000"/>
              </w:rPr>
            </w:pPr>
            <w:r w:rsidRPr="3403BEBF">
              <w:rPr>
                <w:rFonts w:asciiTheme="minorHAnsi" w:hAnsiTheme="minorHAnsi" w:eastAsiaTheme="minorEastAsia" w:cstheme="minorBidi"/>
                <w:color w:val="000000" w:themeColor="text1"/>
              </w:rPr>
              <w:t xml:space="preserve">Sociale veiligheidscoördinator: </w:t>
            </w:r>
            <w:r w:rsidRPr="3403BEBF" w:rsidR="5BE6FC79">
              <w:rPr>
                <w:rFonts w:asciiTheme="minorHAnsi" w:hAnsiTheme="minorHAnsi" w:eastAsiaTheme="minorEastAsia" w:cstheme="minorBidi"/>
                <w:color w:val="000000" w:themeColor="text1"/>
              </w:rPr>
              <w:t>Xandra Oosterveer</w:t>
            </w:r>
            <w:r w:rsidRPr="3403BEBF" w:rsidR="5E182F23">
              <w:rPr>
                <w:rFonts w:asciiTheme="minorHAnsi" w:hAnsiTheme="minorHAnsi" w:eastAsiaTheme="minorEastAsia" w:cstheme="minorBidi"/>
                <w:color w:val="000000" w:themeColor="text1"/>
              </w:rPr>
              <w:t xml:space="preserve">. </w:t>
            </w:r>
          </w:p>
          <w:p w:rsidR="008B07AC" w:rsidP="3403BEBF" w:rsidRDefault="23D6D86F" w14:paraId="07246780" w14:textId="0B632D85">
            <w:pPr>
              <w:pStyle w:val="NormalWeb"/>
              <w:numPr>
                <w:ilvl w:val="0"/>
                <w:numId w:val="1"/>
              </w:numPr>
              <w:shd w:val="clear" w:color="auto" w:fill="FFFFFF" w:themeFill="background1"/>
              <w:spacing w:before="0" w:beforeAutospacing="0" w:after="300" w:afterAutospacing="0"/>
              <w:rPr>
                <w:rFonts w:asciiTheme="minorHAnsi" w:hAnsiTheme="minorHAnsi" w:eastAsiaTheme="minorEastAsia" w:cstheme="minorBidi"/>
                <w:color w:val="000000" w:themeColor="text1"/>
              </w:rPr>
            </w:pPr>
            <w:r w:rsidRPr="3403BEBF">
              <w:rPr>
                <w:rFonts w:asciiTheme="minorHAnsi" w:hAnsiTheme="minorHAnsi" w:eastAsiaTheme="minorEastAsia" w:cstheme="minorBidi"/>
                <w:color w:val="000000" w:themeColor="text1"/>
              </w:rPr>
              <w:t xml:space="preserve">Anti-pestcoördinator: </w:t>
            </w:r>
            <w:r w:rsidRPr="3403BEBF" w:rsidR="28413387">
              <w:rPr>
                <w:rFonts w:asciiTheme="minorHAnsi" w:hAnsiTheme="minorHAnsi" w:eastAsiaTheme="minorEastAsia" w:cstheme="minorBidi"/>
                <w:color w:val="000000" w:themeColor="text1"/>
              </w:rPr>
              <w:t>Madelon de Vroome</w:t>
            </w:r>
            <w:r w:rsidR="008B07AC">
              <w:br/>
            </w:r>
            <w:r w:rsidRPr="3403BEBF" w:rsidR="6CE253E4">
              <w:rPr>
                <w:rFonts w:asciiTheme="minorHAnsi" w:hAnsiTheme="minorHAnsi" w:eastAsiaTheme="minorEastAsia" w:cstheme="minorBidi"/>
              </w:rPr>
              <w:t xml:space="preserve">De anti-pest coördinator is een laagdrempelig aanspreekpunt op school voor ouders en leerlingen, wanneer ze te maken hebben met pesten. </w:t>
            </w:r>
            <w:r w:rsidRPr="3403BEBF" w:rsidR="250D0B83">
              <w:rPr>
                <w:rFonts w:asciiTheme="minorHAnsi" w:hAnsiTheme="minorHAnsi" w:eastAsiaTheme="minorEastAsia" w:cstheme="minorBidi"/>
              </w:rPr>
              <w:t xml:space="preserve">Zie H10 Protocollen in </w:t>
            </w:r>
            <w:r w:rsidRPr="3403BEBF" w:rsidR="218C25ED">
              <w:rPr>
                <w:rFonts w:asciiTheme="minorHAnsi" w:hAnsiTheme="minorHAnsi" w:eastAsiaTheme="minorEastAsia" w:cstheme="minorBidi"/>
              </w:rPr>
              <w:t>Sharepoint</w:t>
            </w:r>
            <w:r w:rsidRPr="3403BEBF" w:rsidR="250D0B83">
              <w:rPr>
                <w:rFonts w:asciiTheme="minorHAnsi" w:hAnsiTheme="minorHAnsi" w:eastAsiaTheme="minorEastAsia" w:cstheme="minorBidi"/>
              </w:rPr>
              <w:t xml:space="preserve">. </w:t>
            </w:r>
          </w:p>
          <w:p w:rsidRPr="0020048B" w:rsidR="008B07AC" w:rsidP="3403BEBF" w:rsidRDefault="05C98279" w14:paraId="0E405CBD" w14:textId="47942166">
            <w:pPr>
              <w:pStyle w:val="NormalWeb"/>
              <w:numPr>
                <w:ilvl w:val="0"/>
                <w:numId w:val="1"/>
              </w:numPr>
              <w:shd w:val="clear" w:color="auto" w:fill="FFFFFF" w:themeFill="background1"/>
              <w:spacing w:before="0" w:beforeAutospacing="0" w:after="300" w:afterAutospacing="0"/>
              <w:rPr>
                <w:rFonts w:asciiTheme="minorHAnsi" w:hAnsiTheme="minorHAnsi" w:eastAsiaTheme="minorEastAsia" w:cstheme="minorBidi"/>
                <w:color w:val="000000"/>
              </w:rPr>
            </w:pPr>
            <w:r w:rsidRPr="3403BEBF">
              <w:rPr>
                <w:rFonts w:asciiTheme="minorHAnsi" w:hAnsiTheme="minorHAnsi" w:eastAsiaTheme="minorEastAsia" w:cstheme="minorBidi"/>
                <w:color w:val="000000" w:themeColor="text1"/>
              </w:rPr>
              <w:t>Aandachtsfunctionaris: Marjet Hardeman</w:t>
            </w:r>
            <w:r w:rsidRPr="3403BEBF" w:rsidR="4426879F">
              <w:rPr>
                <w:rFonts w:asciiTheme="minorHAnsi" w:hAnsiTheme="minorHAnsi" w:eastAsiaTheme="minorEastAsia" w:cstheme="minorBidi"/>
                <w:color w:val="000000" w:themeColor="text1"/>
              </w:rPr>
              <w:t xml:space="preserve"> Zie H9 Meldcode in </w:t>
            </w:r>
            <w:r w:rsidRPr="3403BEBF" w:rsidR="10C2B7CA">
              <w:rPr>
                <w:rFonts w:asciiTheme="minorHAnsi" w:hAnsiTheme="minorHAnsi" w:eastAsiaTheme="minorEastAsia" w:cstheme="minorBidi"/>
                <w:color w:val="000000" w:themeColor="text1"/>
              </w:rPr>
              <w:t>Sharepoint</w:t>
            </w:r>
            <w:r w:rsidRPr="3403BEBF" w:rsidR="5E182F23">
              <w:rPr>
                <w:rFonts w:asciiTheme="minorHAnsi" w:hAnsiTheme="minorHAnsi" w:eastAsiaTheme="minorEastAsia" w:cstheme="minorBidi"/>
                <w:color w:val="000000" w:themeColor="text1"/>
              </w:rPr>
              <w:t xml:space="preserve">. </w:t>
            </w:r>
          </w:p>
          <w:p w:rsidRPr="00FB1567" w:rsidR="0020048B" w:rsidP="725863A2" w:rsidRDefault="6A43247A" w14:paraId="1F1C704D" w14:textId="0E66CBA4">
            <w:pPr>
              <w:pStyle w:val="NormalWeb"/>
              <w:shd w:val="clear" w:color="auto" w:fill="FFFFFF" w:themeFill="background1"/>
              <w:spacing w:before="0" w:beforeAutospacing="off" w:after="300" w:afterAutospacing="off"/>
              <w:rPr>
                <w:rFonts w:ascii="Calibri" w:hAnsi="Calibri" w:eastAsia="游明朝" w:cs="Arial" w:asciiTheme="minorAscii" w:hAnsiTheme="minorAscii" w:eastAsiaTheme="minorEastAsia" w:cstheme="minorBidi"/>
                <w:color w:val="000000"/>
              </w:rPr>
            </w:pPr>
            <w:r w:rsidRPr="725863A2" w:rsidR="30D0A47A">
              <w:rPr>
                <w:rFonts w:ascii="Calibri" w:hAnsi="Calibri" w:eastAsia="游明朝" w:cs="Arial" w:asciiTheme="minorAscii" w:hAnsiTheme="minorAscii" w:eastAsiaTheme="minorEastAsia" w:cstheme="minorBidi"/>
                <w:color w:val="000000" w:themeColor="text1" w:themeTint="FF" w:themeShade="FF"/>
              </w:rPr>
              <w:t xml:space="preserve">Op school </w:t>
            </w:r>
            <w:r w:rsidRPr="725863A2" w:rsidR="5D890E7B">
              <w:rPr>
                <w:rFonts w:ascii="Calibri" w:hAnsi="Calibri" w:eastAsia="游明朝" w:cs="Arial" w:asciiTheme="minorAscii" w:hAnsiTheme="minorAscii" w:eastAsiaTheme="minorEastAsia" w:cstheme="minorBidi"/>
                <w:color w:val="000000" w:themeColor="text1" w:themeTint="FF" w:themeShade="FF"/>
              </w:rPr>
              <w:t xml:space="preserve">is er op 4 dagen </w:t>
            </w:r>
            <w:r w:rsidRPr="725863A2" w:rsidR="30D0A47A">
              <w:rPr>
                <w:rFonts w:ascii="Calibri" w:hAnsi="Calibri" w:eastAsia="游明朝" w:cs="Arial" w:asciiTheme="minorAscii" w:hAnsiTheme="minorAscii" w:eastAsiaTheme="minorEastAsia" w:cstheme="minorBidi"/>
                <w:color w:val="000000" w:themeColor="text1" w:themeTint="FF" w:themeShade="FF"/>
              </w:rPr>
              <w:t xml:space="preserve">in de week een schoolmaatschappelijk werkster aanwezig. </w:t>
            </w:r>
          </w:p>
          <w:p w:rsidRPr="00FB1567" w:rsidR="006E790F" w:rsidP="3403BEBF" w:rsidRDefault="560A1668" w14:paraId="7DB3F8E2" w14:textId="3219BCF4">
            <w:pPr>
              <w:pStyle w:val="NormalWeb"/>
              <w:shd w:val="clear" w:color="auto" w:fill="FFFFFF" w:themeFill="background1"/>
              <w:spacing w:before="0" w:beforeAutospacing="0" w:after="300" w:afterAutospacing="0"/>
              <w:rPr>
                <w:rFonts w:asciiTheme="minorHAnsi" w:hAnsiTheme="minorHAnsi" w:eastAsiaTheme="minorEastAsia" w:cstheme="minorBidi"/>
                <w:color w:val="000000"/>
              </w:rPr>
            </w:pPr>
            <w:r w:rsidRPr="3403BEBF">
              <w:rPr>
                <w:rFonts w:asciiTheme="minorHAnsi" w:hAnsiTheme="minorHAnsi" w:eastAsiaTheme="minorEastAsia" w:cstheme="minorBidi"/>
                <w:color w:val="000000" w:themeColor="text1"/>
              </w:rPr>
              <w:t>Op school hanteren we een pestprotocol. Hierin staat beschreven hoe we pestgedrag voorkomen, hoe het wordt gesignaleerd en hoe we erop handelen. In het pestprotocol staan afspraken over het geven van sociale vaardigheidstrainingen (Rots en water) en over de begeleiding van kinderen die worden gepest. Het protocol wordt besproken binnen het team, de ouderraad en de MR.​</w:t>
            </w:r>
            <w:r w:rsidRPr="3403BEBF" w:rsidR="5E182F23">
              <w:rPr>
                <w:rFonts w:asciiTheme="minorHAnsi" w:hAnsiTheme="minorHAnsi" w:eastAsiaTheme="minorEastAsia" w:cstheme="minorBidi"/>
                <w:color w:val="000000" w:themeColor="text1"/>
              </w:rPr>
              <w:t xml:space="preserve"> </w:t>
            </w:r>
            <w:r w:rsidRPr="3403BEBF" w:rsidR="5E182F23">
              <w:rPr>
                <w:rFonts w:asciiTheme="minorHAnsi" w:hAnsiTheme="minorHAnsi" w:eastAsiaTheme="minorEastAsia" w:cstheme="minorBidi"/>
              </w:rPr>
              <w:t xml:space="preserve">Zie H10 Protocollen in </w:t>
            </w:r>
            <w:r w:rsidRPr="3403BEBF" w:rsidR="7048B93C">
              <w:rPr>
                <w:rFonts w:asciiTheme="minorHAnsi" w:hAnsiTheme="minorHAnsi" w:eastAsiaTheme="minorEastAsia" w:cstheme="minorBidi"/>
              </w:rPr>
              <w:t>Sharepoint</w:t>
            </w:r>
            <w:r w:rsidRPr="3403BEBF" w:rsidR="5E182F23">
              <w:rPr>
                <w:rFonts w:asciiTheme="minorHAnsi" w:hAnsiTheme="minorHAnsi" w:eastAsiaTheme="minorEastAsia" w:cstheme="minorBidi"/>
              </w:rPr>
              <w:t>.</w:t>
            </w:r>
            <w:r w:rsidRPr="3403BEBF" w:rsidR="069F4BFB">
              <w:rPr>
                <w:rFonts w:asciiTheme="minorHAnsi" w:hAnsiTheme="minorHAnsi" w:eastAsiaTheme="minorEastAsia" w:cstheme="minorBidi"/>
              </w:rPr>
              <w:t xml:space="preserve"> I</w:t>
            </w:r>
            <w:r w:rsidRPr="3403BEBF" w:rsidR="6B2AF4E0">
              <w:rPr>
                <w:rFonts w:asciiTheme="minorHAnsi" w:hAnsiTheme="minorHAnsi" w:eastAsiaTheme="minorEastAsia" w:cstheme="minorBidi"/>
              </w:rPr>
              <w:t>n</w:t>
            </w:r>
            <w:r w:rsidRPr="3403BEBF" w:rsidR="069F4BFB">
              <w:rPr>
                <w:rFonts w:asciiTheme="minorHAnsi" w:hAnsiTheme="minorHAnsi" w:eastAsiaTheme="minorEastAsia" w:cstheme="minorBidi"/>
              </w:rPr>
              <w:t xml:space="preserve"> deze map is tevens de kwaliteitskaart sexting te vinden.</w:t>
            </w:r>
          </w:p>
          <w:p w:rsidR="00D30F87" w:rsidP="3403BEBF" w:rsidRDefault="64319B4C" w14:paraId="5367A297" w14:textId="77777777">
            <w:pPr>
              <w:rPr>
                <w:rFonts w:eastAsiaTheme="minorEastAsia"/>
                <w:sz w:val="24"/>
                <w:szCs w:val="24"/>
                <w:u w:val="single"/>
                <w:shd w:val="clear" w:color="auto" w:fill="FFFFFF"/>
              </w:rPr>
            </w:pPr>
            <w:r w:rsidRPr="3403BEBF">
              <w:rPr>
                <w:rFonts w:eastAsiaTheme="minorEastAsia"/>
                <w:sz w:val="24"/>
                <w:szCs w:val="24"/>
                <w:u w:val="single"/>
                <w:shd w:val="clear" w:color="auto" w:fill="FFFFFF"/>
              </w:rPr>
              <w:t xml:space="preserve">Monitoren </w:t>
            </w:r>
            <w:r w:rsidRPr="3403BEBF" w:rsidR="0F015B9F">
              <w:rPr>
                <w:rFonts w:eastAsiaTheme="minorEastAsia"/>
                <w:sz w:val="24"/>
                <w:szCs w:val="24"/>
                <w:u w:val="single"/>
                <w:shd w:val="clear" w:color="auto" w:fill="FFFFFF"/>
              </w:rPr>
              <w:t>veiligheidsbeleving</w:t>
            </w:r>
          </w:p>
          <w:p w:rsidR="00292AF6" w:rsidP="3403BEBF" w:rsidRDefault="00292AF6" w14:paraId="6A05A809" w14:textId="77777777">
            <w:pPr>
              <w:rPr>
                <w:rFonts w:eastAsiaTheme="minorEastAsia"/>
                <w:sz w:val="24"/>
                <w:szCs w:val="24"/>
                <w:u w:val="single"/>
                <w:shd w:val="clear" w:color="auto" w:fill="FFFFFF"/>
              </w:rPr>
            </w:pPr>
          </w:p>
          <w:p w:rsidR="00292AF6" w:rsidP="3403BEBF" w:rsidRDefault="7D3B042B" w14:paraId="06A9F260" w14:textId="77777777">
            <w:pPr>
              <w:rPr>
                <w:rFonts w:eastAsiaTheme="minorEastAsia"/>
                <w:sz w:val="24"/>
                <w:szCs w:val="24"/>
              </w:rPr>
            </w:pPr>
            <w:r w:rsidRPr="3403BEBF">
              <w:rPr>
                <w:rFonts w:eastAsiaTheme="minorEastAsia"/>
                <w:sz w:val="24"/>
                <w:szCs w:val="24"/>
              </w:rPr>
              <w:t>Om in kaart te brengen in hoeverre onze leerlingen zich sociaal gezien en veilig voelen maken we gebruik van twee valide, betrouwbare gestandaardiseerde instrumenten:</w:t>
            </w:r>
          </w:p>
          <w:p w:rsidRPr="00685609" w:rsidR="00685609" w:rsidP="3403BEBF" w:rsidRDefault="00685609" w14:paraId="5A39BBE3" w14:textId="77777777">
            <w:pPr>
              <w:rPr>
                <w:rFonts w:eastAsiaTheme="minorEastAsia"/>
                <w:sz w:val="24"/>
                <w:szCs w:val="24"/>
              </w:rPr>
            </w:pPr>
          </w:p>
          <w:p w:rsidRPr="00685609" w:rsidR="00685609" w:rsidP="3403BEBF" w:rsidRDefault="356A9506" w14:paraId="057461DD" w14:textId="6122A556">
            <w:pPr>
              <w:pStyle w:val="ListParagraph"/>
              <w:numPr>
                <w:ilvl w:val="0"/>
                <w:numId w:val="1"/>
              </w:numPr>
              <w:spacing w:after="0" w:line="240" w:lineRule="auto"/>
              <w:rPr>
                <w:rFonts w:eastAsiaTheme="minorEastAsia"/>
                <w:sz w:val="24"/>
                <w:szCs w:val="24"/>
                <w:shd w:val="clear" w:color="auto" w:fill="FFFFFF"/>
              </w:rPr>
            </w:pPr>
            <w:r w:rsidRPr="3403BEBF">
              <w:rPr>
                <w:rFonts w:eastAsiaTheme="minorEastAsia"/>
                <w:sz w:val="24"/>
                <w:szCs w:val="24"/>
              </w:rPr>
              <w:t>Scol</w:t>
            </w:r>
            <w:r w:rsidRPr="3403BEBF" w:rsidR="5F424879">
              <w:rPr>
                <w:rFonts w:eastAsiaTheme="minorEastAsia"/>
                <w:sz w:val="24"/>
                <w:szCs w:val="24"/>
              </w:rPr>
              <w:t>, leerlingSCOL, MSV</w:t>
            </w:r>
            <w:r w:rsidRPr="3403BEBF" w:rsidR="642DF50D">
              <w:rPr>
                <w:rFonts w:eastAsiaTheme="minorEastAsia"/>
                <w:sz w:val="24"/>
                <w:szCs w:val="24"/>
              </w:rPr>
              <w:t>.</w:t>
            </w:r>
            <w:r w:rsidRPr="3403BEBF" w:rsidR="7D3B042B">
              <w:rPr>
                <w:rFonts w:eastAsiaTheme="minorEastAsia"/>
                <w:sz w:val="24"/>
                <w:szCs w:val="24"/>
              </w:rPr>
              <w:t xml:space="preserve">: </w:t>
            </w:r>
            <w:r w:rsidRPr="3403BEBF">
              <w:rPr>
                <w:rFonts w:eastAsiaTheme="minorEastAsia"/>
                <w:sz w:val="24"/>
                <w:szCs w:val="24"/>
                <w:shd w:val="clear" w:color="auto" w:fill="FFFFFF"/>
              </w:rPr>
              <w:t>Alle leerkrachten vullen twee keer per jaar een vragenlijst in. Vanaf groep 6 vullen ook de leerlingen een speciaal voor hen bestemde vragenlijst in. Op basis van de resultaten kunnen zowel op schoolniveau als op groeps- en individueel niveau interventies gepleegd worden.</w:t>
            </w:r>
            <w:r w:rsidRPr="3403BEBF" w:rsidR="4426879F">
              <w:rPr>
                <w:rFonts w:eastAsiaTheme="minorEastAsia"/>
                <w:sz w:val="24"/>
                <w:szCs w:val="24"/>
                <w:shd w:val="clear" w:color="auto" w:fill="FFFFFF"/>
              </w:rPr>
              <w:t xml:space="preserve"> Zie H11 SCOL in het Handboek</w:t>
            </w:r>
          </w:p>
          <w:p w:rsidRPr="00685609" w:rsidR="00292AF6" w:rsidP="3403BEBF" w:rsidRDefault="7D3B042B" w14:paraId="0FB30BAA" w14:textId="2E782F30">
            <w:pPr>
              <w:pStyle w:val="ListParagraph"/>
              <w:numPr>
                <w:ilvl w:val="0"/>
                <w:numId w:val="2"/>
              </w:numPr>
              <w:rPr>
                <w:rFonts w:eastAsiaTheme="minorEastAsia"/>
                <w:sz w:val="24"/>
                <w:szCs w:val="24"/>
              </w:rPr>
            </w:pPr>
            <w:r w:rsidRPr="3403BEBF">
              <w:rPr>
                <w:rFonts w:eastAsiaTheme="minorEastAsia"/>
                <w:sz w:val="24"/>
                <w:szCs w:val="24"/>
              </w:rPr>
              <w:t xml:space="preserve">INK: Deze </w:t>
            </w:r>
            <w:r w:rsidRPr="3403BEBF" w:rsidR="4426879F">
              <w:rPr>
                <w:rFonts w:eastAsiaTheme="minorEastAsia"/>
                <w:sz w:val="24"/>
                <w:szCs w:val="24"/>
              </w:rPr>
              <w:t xml:space="preserve">vragenlijst wordt </w:t>
            </w:r>
            <w:r w:rsidRPr="3403BEBF" w:rsidR="3D5E33CC">
              <w:rPr>
                <w:rFonts w:eastAsiaTheme="minorEastAsia"/>
                <w:sz w:val="24"/>
                <w:szCs w:val="24"/>
              </w:rPr>
              <w:t xml:space="preserve">afgenomen als dit door het bestuur wordt uitgezet. </w:t>
            </w:r>
          </w:p>
          <w:p w:rsidRPr="00685609" w:rsidR="00292AF6" w:rsidP="725863A2" w:rsidRDefault="7D3B042B" w14:paraId="660C611F" w14:textId="2BF1053D">
            <w:pPr>
              <w:rPr>
                <w:rFonts w:eastAsia="游明朝" w:eastAsiaTheme="minorEastAsia"/>
                <w:sz w:val="24"/>
                <w:szCs w:val="24"/>
                <w:u w:val="single"/>
                <w:shd w:val="clear" w:color="auto" w:fill="FFFFFF"/>
              </w:rPr>
            </w:pPr>
            <w:r w:rsidRPr="725863A2" w:rsidR="3639E156">
              <w:rPr>
                <w:rFonts w:eastAsia="游明朝" w:eastAsiaTheme="minorEastAsia"/>
                <w:sz w:val="24"/>
                <w:szCs w:val="24"/>
              </w:rPr>
              <w:t xml:space="preserve">De monitoring geeft ons inzicht in de feitelijke en ervaren veiligheid en het welbevinden van onze leerlingen. Als de resultaten daartoe aanleiding geven, passen we op basis van de gegevens van de monitor ons beleid aan. </w:t>
            </w:r>
            <w:r w:rsidRPr="725863A2" w:rsidR="6BB3D361">
              <w:rPr>
                <w:rFonts w:eastAsia="游明朝" w:eastAsiaTheme="minorEastAsia"/>
                <w:sz w:val="24"/>
                <w:szCs w:val="24"/>
              </w:rPr>
              <w:t xml:space="preserve">De uitslagen worden met het team besproken en er worden concrete acties genoteerd om de veiligheid in de groep te verbeteren. </w:t>
            </w:r>
            <w:r w:rsidRPr="725863A2" w:rsidR="3639E156">
              <w:rPr>
                <w:rFonts w:eastAsia="游明朝" w:eastAsiaTheme="minorEastAsia"/>
                <w:sz w:val="24"/>
                <w:szCs w:val="24"/>
              </w:rPr>
              <w:t>Monitoren is een middel om bijtijds maatregelen te nemen ter verbetering van de sociale veiligheid op school.</w:t>
            </w:r>
          </w:p>
          <w:p w:rsidRPr="00861A74" w:rsidR="00861A74" w:rsidP="3403BEBF" w:rsidRDefault="1F5E6027" w14:paraId="0151217F" w14:textId="77777777">
            <w:pPr>
              <w:rPr>
                <w:rFonts w:eastAsiaTheme="minorEastAsia"/>
                <w:color w:val="000000"/>
                <w:sz w:val="24"/>
                <w:szCs w:val="24"/>
                <w:shd w:val="clear" w:color="auto" w:fill="FFFFFF"/>
              </w:rPr>
            </w:pPr>
            <w:r w:rsidRPr="3403BEBF">
              <w:rPr>
                <w:rFonts w:eastAsiaTheme="minorEastAsia"/>
                <w:color w:val="000000"/>
                <w:sz w:val="24"/>
                <w:szCs w:val="24"/>
                <w:shd w:val="clear" w:color="auto" w:fill="FFFFFF"/>
              </w:rPr>
              <w:t xml:space="preserve">De inspectie beoordeelt of het veiligheidsbeleid van de school voldoende is en let er daarbij vooral op of een school de veiligheidsbeleving van leerlingen monitort en (als dat nodig is) maatregelen neemt tot verbetering. In de wet is geregeld dat een school de monitoringsgegevens aan de inspectie beschikbaar stelt. </w:t>
            </w:r>
          </w:p>
          <w:p w:rsidRPr="0064044D" w:rsidR="00861A74" w:rsidP="3403BEBF" w:rsidRDefault="00861A74" w14:paraId="41C8F396" w14:textId="77777777">
            <w:pPr>
              <w:rPr>
                <w:rFonts w:ascii="Calibri" w:hAnsi="Calibri" w:cs="Calibri"/>
                <w:b/>
                <w:bCs/>
                <w:color w:val="0070C0"/>
                <w:sz w:val="24"/>
                <w:szCs w:val="24"/>
              </w:rPr>
            </w:pPr>
          </w:p>
        </w:tc>
      </w:tr>
      <w:tr w:rsidR="00FB15D8" w:rsidTr="725863A2" w14:paraId="4E305967" w14:textId="77777777">
        <w:tc>
          <w:tcPr>
            <w:tcW w:w="9062" w:type="dxa"/>
            <w:gridSpan w:val="2"/>
            <w:tcMar/>
          </w:tcPr>
          <w:p w:rsidR="00FB15D8" w:rsidP="00697FFD" w:rsidRDefault="00FB15D8" w14:paraId="4E5480B1" w14:textId="77777777">
            <w:pPr>
              <w:rPr>
                <w:b/>
                <w:color w:val="0070C0"/>
                <w:sz w:val="24"/>
                <w:szCs w:val="24"/>
              </w:rPr>
            </w:pPr>
            <w:r w:rsidRPr="00EE7BAA">
              <w:rPr>
                <w:b/>
                <w:color w:val="0070C0"/>
                <w:sz w:val="24"/>
                <w:szCs w:val="24"/>
              </w:rPr>
              <w:t>Informatie voor ouders/verzorgers</w:t>
            </w:r>
          </w:p>
          <w:p w:rsidRPr="0011274F" w:rsidR="0011274F" w:rsidP="00697FFD" w:rsidRDefault="0011274F" w14:paraId="2848A0E0" w14:textId="77777777">
            <w:pPr>
              <w:rPr>
                <w:sz w:val="24"/>
                <w:szCs w:val="24"/>
              </w:rPr>
            </w:pPr>
            <w:r>
              <w:rPr>
                <w:sz w:val="24"/>
                <w:szCs w:val="24"/>
              </w:rPr>
              <w:t>Zie schoolplan</w:t>
            </w:r>
            <w:r w:rsidR="00173513">
              <w:rPr>
                <w:sz w:val="24"/>
                <w:szCs w:val="24"/>
              </w:rPr>
              <w:t>, schoolkalender</w:t>
            </w:r>
          </w:p>
        </w:tc>
      </w:tr>
      <w:tr w:rsidR="00FB15D8" w:rsidTr="725863A2" w14:paraId="14721D49" w14:textId="77777777">
        <w:tc>
          <w:tcPr>
            <w:tcW w:w="9062" w:type="dxa"/>
            <w:gridSpan w:val="2"/>
            <w:tcMar/>
          </w:tcPr>
          <w:p w:rsidR="00FB15D8" w:rsidP="00697FFD" w:rsidRDefault="00FB15D8" w14:paraId="061C37EF" w14:textId="77777777">
            <w:pPr>
              <w:rPr>
                <w:b/>
                <w:color w:val="0070C0"/>
                <w:sz w:val="24"/>
                <w:szCs w:val="24"/>
              </w:rPr>
            </w:pPr>
            <w:r w:rsidRPr="00EE7BAA">
              <w:rPr>
                <w:b/>
                <w:color w:val="0070C0"/>
                <w:sz w:val="24"/>
                <w:szCs w:val="24"/>
              </w:rPr>
              <w:t>Wat registreren in Esis?</w:t>
            </w:r>
          </w:p>
          <w:p w:rsidRPr="00001C96" w:rsidR="00001C96" w:rsidP="00697FFD" w:rsidRDefault="00001C96" w14:paraId="72A3D3EC" w14:textId="77777777">
            <w:pPr>
              <w:rPr>
                <w:sz w:val="24"/>
                <w:szCs w:val="24"/>
              </w:rPr>
            </w:pPr>
            <w:bookmarkStart w:name="_GoBack" w:id="0"/>
            <w:bookmarkEnd w:id="0"/>
          </w:p>
        </w:tc>
      </w:tr>
      <w:tr w:rsidR="00FB15D8" w:rsidTr="725863A2" w14:paraId="6C47B97A" w14:textId="77777777">
        <w:tc>
          <w:tcPr>
            <w:tcW w:w="9062" w:type="dxa"/>
            <w:gridSpan w:val="2"/>
            <w:tcMar/>
          </w:tcPr>
          <w:p w:rsidRPr="00EE7BAA" w:rsidR="00FB15D8" w:rsidP="00697FFD" w:rsidRDefault="00FB15D8" w14:paraId="021A4028" w14:textId="77777777">
            <w:pPr>
              <w:rPr>
                <w:b/>
                <w:color w:val="0070C0"/>
                <w:sz w:val="24"/>
                <w:szCs w:val="24"/>
              </w:rPr>
            </w:pPr>
            <w:r w:rsidRPr="00EE7BAA">
              <w:rPr>
                <w:b/>
                <w:color w:val="0070C0"/>
                <w:sz w:val="24"/>
                <w:szCs w:val="24"/>
              </w:rPr>
              <w:t>Overig</w:t>
            </w:r>
          </w:p>
        </w:tc>
      </w:tr>
    </w:tbl>
    <w:p w:rsidRPr="008435E8" w:rsidR="008435E8" w:rsidP="00697FFD" w:rsidRDefault="008435E8" w14:paraId="0D0B940D" w14:textId="77777777">
      <w:pPr>
        <w:rPr>
          <w:b/>
          <w:color w:val="0070C0"/>
          <w:sz w:val="28"/>
          <w:szCs w:val="28"/>
        </w:rPr>
      </w:pPr>
    </w:p>
    <w:sectPr w:rsidRPr="008435E8" w:rsidR="008435E8">
      <w:headerReference w:type="default" r:id="rId11"/>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13EA" w:rsidP="0060689C" w:rsidRDefault="00DB13EA" w14:paraId="36A4F5FC" w14:textId="77777777">
      <w:pPr>
        <w:spacing w:after="0" w:line="240" w:lineRule="auto"/>
      </w:pPr>
      <w:r>
        <w:separator/>
      </w:r>
    </w:p>
  </w:endnote>
  <w:endnote w:type="continuationSeparator" w:id="0">
    <w:p w:rsidR="00DB13EA" w:rsidP="0060689C" w:rsidRDefault="00DB13EA" w14:paraId="7BF2A4F8" w14:textId="77777777">
      <w:pPr>
        <w:spacing w:after="0" w:line="240" w:lineRule="auto"/>
      </w:pPr>
      <w:r>
        <w:continuationSeparator/>
      </w:r>
    </w:p>
  </w:endnote>
  <w:endnote w:type="continuationNotice" w:id="1">
    <w:p w:rsidR="00DB13EA" w:rsidRDefault="00DB13EA" w14:paraId="3DF3891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13EA" w:rsidP="0060689C" w:rsidRDefault="00DB13EA" w14:paraId="35AC890C" w14:textId="77777777">
      <w:pPr>
        <w:spacing w:after="0" w:line="240" w:lineRule="auto"/>
      </w:pPr>
      <w:r>
        <w:separator/>
      </w:r>
    </w:p>
  </w:footnote>
  <w:footnote w:type="continuationSeparator" w:id="0">
    <w:p w:rsidR="00DB13EA" w:rsidP="0060689C" w:rsidRDefault="00DB13EA" w14:paraId="57B8BFEF" w14:textId="77777777">
      <w:pPr>
        <w:spacing w:after="0" w:line="240" w:lineRule="auto"/>
      </w:pPr>
      <w:r>
        <w:continuationSeparator/>
      </w:r>
    </w:p>
  </w:footnote>
  <w:footnote w:type="continuationNotice" w:id="1">
    <w:p w:rsidR="00DB13EA" w:rsidRDefault="00DB13EA" w14:paraId="7A942AC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0689C" w:rsidR="0060689C" w:rsidP="0060689C" w:rsidRDefault="0060689C" w14:paraId="0080D38E" w14:textId="77777777">
    <w:pPr>
      <w:pStyle w:val="Header"/>
      <w:jc w:val="center"/>
      <w:rPr>
        <w:b/>
        <w:color w:val="2F5496" w:themeColor="accent1" w:themeShade="BF"/>
        <w:sz w:val="24"/>
        <w:szCs w:val="24"/>
      </w:rPr>
    </w:pPr>
    <w:r w:rsidRPr="0060689C">
      <w:rPr>
        <w:b/>
        <w:color w:val="2F5496" w:themeColor="accent1" w:themeShade="BF"/>
        <w:sz w:val="24"/>
        <w:szCs w:val="24"/>
      </w:rPr>
      <w:t>Kwaliteitsaanpak ICBO De Wissel</w:t>
    </w:r>
  </w:p>
  <w:p w:rsidR="0060689C" w:rsidRDefault="0060689C" w14:paraId="3DEEC66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420CD"/>
    <w:multiLevelType w:val="multilevel"/>
    <w:tmpl w:val="6CFEA59E"/>
    <w:lvl w:ilvl="0">
      <w:start w:val="1"/>
      <w:numFmt w:val="bullet"/>
      <w:lvlText w:val=""/>
      <w:lvlJc w:val="left"/>
      <w:pPr>
        <w:tabs>
          <w:tab w:val="num" w:pos="720"/>
        </w:tabs>
        <w:ind w:left="720" w:hanging="360"/>
      </w:pPr>
      <w:rPr>
        <w:rFonts w:hint="default" w:ascii="Symbol" w:hAnsi="Symbol"/>
        <w:sz w:val="20"/>
      </w:rPr>
    </w:lvl>
    <w:lvl w:ilvl="1">
      <w:numFmt w:val="bullet"/>
      <w:lvlText w:val="-"/>
      <w:lvlJc w:val="left"/>
      <w:pPr>
        <w:ind w:left="1440" w:hanging="360"/>
      </w:pPr>
      <w:rPr>
        <w:rFonts w:hint="default" w:ascii="Verdana" w:hAnsi="Verdana" w:eastAsiaTheme="minorHAnsi" w:cstheme="minorBidi"/>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541A35BF"/>
    <w:multiLevelType w:val="hybridMultilevel"/>
    <w:tmpl w:val="2C4A93AE"/>
    <w:lvl w:ilvl="0" w:tplc="17A6C0BA">
      <w:numFmt w:val="bullet"/>
      <w:lvlText w:val=""/>
      <w:lvlJc w:val="left"/>
      <w:pPr>
        <w:ind w:left="720" w:hanging="360"/>
      </w:pPr>
      <w:rPr>
        <w:rFonts w:hint="default" w:ascii="Symbol" w:hAnsi="Symbol" w:eastAsia="Times New Roman" w:cs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194733670">
    <w:abstractNumId w:val="1"/>
  </w:num>
  <w:num w:numId="2" w16cid:durableId="59329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89C"/>
    <w:rsid w:val="00001C96"/>
    <w:rsid w:val="00011272"/>
    <w:rsid w:val="0006127B"/>
    <w:rsid w:val="000A37DF"/>
    <w:rsid w:val="000A584F"/>
    <w:rsid w:val="000E62D8"/>
    <w:rsid w:val="0011274F"/>
    <w:rsid w:val="00173513"/>
    <w:rsid w:val="001C208A"/>
    <w:rsid w:val="001F2AAB"/>
    <w:rsid w:val="0020048B"/>
    <w:rsid w:val="00207A5C"/>
    <w:rsid w:val="002128FE"/>
    <w:rsid w:val="00232AC9"/>
    <w:rsid w:val="00282892"/>
    <w:rsid w:val="00292AF6"/>
    <w:rsid w:val="002D18A4"/>
    <w:rsid w:val="002F4904"/>
    <w:rsid w:val="00316220"/>
    <w:rsid w:val="00330620"/>
    <w:rsid w:val="00341C2D"/>
    <w:rsid w:val="00352AF6"/>
    <w:rsid w:val="003A3A8F"/>
    <w:rsid w:val="003B5766"/>
    <w:rsid w:val="003E66DB"/>
    <w:rsid w:val="003F0C0E"/>
    <w:rsid w:val="004D1021"/>
    <w:rsid w:val="00505242"/>
    <w:rsid w:val="00543750"/>
    <w:rsid w:val="005960D8"/>
    <w:rsid w:val="0060689C"/>
    <w:rsid w:val="0062169A"/>
    <w:rsid w:val="00625D54"/>
    <w:rsid w:val="0064044D"/>
    <w:rsid w:val="00647CDA"/>
    <w:rsid w:val="00656A30"/>
    <w:rsid w:val="00685609"/>
    <w:rsid w:val="00697FFD"/>
    <w:rsid w:val="006C1714"/>
    <w:rsid w:val="006C1DE0"/>
    <w:rsid w:val="006D04F4"/>
    <w:rsid w:val="006E790F"/>
    <w:rsid w:val="00794DD6"/>
    <w:rsid w:val="00827D71"/>
    <w:rsid w:val="008435E8"/>
    <w:rsid w:val="00861A74"/>
    <w:rsid w:val="00884F6F"/>
    <w:rsid w:val="008A573D"/>
    <w:rsid w:val="008A66BF"/>
    <w:rsid w:val="008B07AC"/>
    <w:rsid w:val="008D12D2"/>
    <w:rsid w:val="0090505C"/>
    <w:rsid w:val="00910AD0"/>
    <w:rsid w:val="00934E2A"/>
    <w:rsid w:val="00935169"/>
    <w:rsid w:val="00945789"/>
    <w:rsid w:val="00964E62"/>
    <w:rsid w:val="009D3707"/>
    <w:rsid w:val="009F6E78"/>
    <w:rsid w:val="009F74F4"/>
    <w:rsid w:val="00A22B47"/>
    <w:rsid w:val="00A50439"/>
    <w:rsid w:val="00A75200"/>
    <w:rsid w:val="00AA2B04"/>
    <w:rsid w:val="00BA7358"/>
    <w:rsid w:val="00BD20EA"/>
    <w:rsid w:val="00C00ED2"/>
    <w:rsid w:val="00C31D84"/>
    <w:rsid w:val="00C60337"/>
    <w:rsid w:val="00C77AEA"/>
    <w:rsid w:val="00CC779B"/>
    <w:rsid w:val="00D30F87"/>
    <w:rsid w:val="00D35C2F"/>
    <w:rsid w:val="00D700A7"/>
    <w:rsid w:val="00DA28D3"/>
    <w:rsid w:val="00DB13EA"/>
    <w:rsid w:val="00DF4325"/>
    <w:rsid w:val="00DF6B4D"/>
    <w:rsid w:val="00E33722"/>
    <w:rsid w:val="00E66ADE"/>
    <w:rsid w:val="00E759A6"/>
    <w:rsid w:val="00EA5E56"/>
    <w:rsid w:val="00EE7BAA"/>
    <w:rsid w:val="00EF31E6"/>
    <w:rsid w:val="00F76891"/>
    <w:rsid w:val="00FB1567"/>
    <w:rsid w:val="00FB15D8"/>
    <w:rsid w:val="00FE720F"/>
    <w:rsid w:val="05C98279"/>
    <w:rsid w:val="0602F5DF"/>
    <w:rsid w:val="069F4BFB"/>
    <w:rsid w:val="09B22062"/>
    <w:rsid w:val="09B86387"/>
    <w:rsid w:val="0A63EEC3"/>
    <w:rsid w:val="0CA432BD"/>
    <w:rsid w:val="0E7E09A1"/>
    <w:rsid w:val="0F015B9F"/>
    <w:rsid w:val="10C2B7CA"/>
    <w:rsid w:val="11DA2E7A"/>
    <w:rsid w:val="12BAB92F"/>
    <w:rsid w:val="15E7A475"/>
    <w:rsid w:val="17ECB4BF"/>
    <w:rsid w:val="183C9C99"/>
    <w:rsid w:val="1D37A7AD"/>
    <w:rsid w:val="1E55126B"/>
    <w:rsid w:val="1F5E6027"/>
    <w:rsid w:val="1F677D86"/>
    <w:rsid w:val="2110FD23"/>
    <w:rsid w:val="218C25ED"/>
    <w:rsid w:val="2328E35E"/>
    <w:rsid w:val="23D6D86F"/>
    <w:rsid w:val="246A9A5A"/>
    <w:rsid w:val="250D0B83"/>
    <w:rsid w:val="274E936C"/>
    <w:rsid w:val="28413387"/>
    <w:rsid w:val="30D0A47A"/>
    <w:rsid w:val="325E49A6"/>
    <w:rsid w:val="329F0475"/>
    <w:rsid w:val="3403BEBF"/>
    <w:rsid w:val="356A9506"/>
    <w:rsid w:val="35A89BC4"/>
    <w:rsid w:val="35C50C5B"/>
    <w:rsid w:val="36273098"/>
    <w:rsid w:val="3639E156"/>
    <w:rsid w:val="3D5E33CC"/>
    <w:rsid w:val="42C80669"/>
    <w:rsid w:val="4426879F"/>
    <w:rsid w:val="4479E453"/>
    <w:rsid w:val="47CC4C01"/>
    <w:rsid w:val="47E705D3"/>
    <w:rsid w:val="4B36026B"/>
    <w:rsid w:val="4CC96136"/>
    <w:rsid w:val="4D828622"/>
    <w:rsid w:val="4F437866"/>
    <w:rsid w:val="544448B7"/>
    <w:rsid w:val="560A1668"/>
    <w:rsid w:val="587A1BB7"/>
    <w:rsid w:val="5BE6FC79"/>
    <w:rsid w:val="5C8BD083"/>
    <w:rsid w:val="5D890E7B"/>
    <w:rsid w:val="5DD202A0"/>
    <w:rsid w:val="5E182F23"/>
    <w:rsid w:val="5F076BA1"/>
    <w:rsid w:val="5F424879"/>
    <w:rsid w:val="5F60E562"/>
    <w:rsid w:val="642DF50D"/>
    <w:rsid w:val="64319B4C"/>
    <w:rsid w:val="65246E30"/>
    <w:rsid w:val="681AF553"/>
    <w:rsid w:val="69830B0F"/>
    <w:rsid w:val="6A43247A"/>
    <w:rsid w:val="6B2AF4E0"/>
    <w:rsid w:val="6BB3D361"/>
    <w:rsid w:val="6CE253E4"/>
    <w:rsid w:val="6E881872"/>
    <w:rsid w:val="6EB47185"/>
    <w:rsid w:val="6FF7DCD8"/>
    <w:rsid w:val="7048B93C"/>
    <w:rsid w:val="70B8A0B6"/>
    <w:rsid w:val="70EE288B"/>
    <w:rsid w:val="7250977E"/>
    <w:rsid w:val="725863A2"/>
    <w:rsid w:val="79F9C1D4"/>
    <w:rsid w:val="7C15677E"/>
    <w:rsid w:val="7D3B042B"/>
    <w:rsid w:val="7E4A894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5A7B"/>
  <w15:docId w15:val="{B5BF1CE2-FBE3-4064-99FF-DA9296BC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0689C"/>
    <w:pPr>
      <w:tabs>
        <w:tab w:val="center" w:pos="4536"/>
        <w:tab w:val="right" w:pos="9072"/>
      </w:tabs>
      <w:spacing w:after="0" w:line="240" w:lineRule="auto"/>
    </w:pPr>
  </w:style>
  <w:style w:type="character" w:styleId="HeaderChar" w:customStyle="1">
    <w:name w:val="Header Char"/>
    <w:basedOn w:val="DefaultParagraphFont"/>
    <w:link w:val="Header"/>
    <w:uiPriority w:val="99"/>
    <w:rsid w:val="0060689C"/>
  </w:style>
  <w:style w:type="paragraph" w:styleId="Footer">
    <w:name w:val="footer"/>
    <w:basedOn w:val="Normal"/>
    <w:link w:val="FooterChar"/>
    <w:uiPriority w:val="99"/>
    <w:unhideWhenUsed/>
    <w:rsid w:val="0060689C"/>
    <w:pPr>
      <w:tabs>
        <w:tab w:val="center" w:pos="4536"/>
        <w:tab w:val="right" w:pos="9072"/>
      </w:tabs>
      <w:spacing w:after="0" w:line="240" w:lineRule="auto"/>
    </w:pPr>
  </w:style>
  <w:style w:type="character" w:styleId="FooterChar" w:customStyle="1">
    <w:name w:val="Footer Char"/>
    <w:basedOn w:val="DefaultParagraphFont"/>
    <w:link w:val="Footer"/>
    <w:uiPriority w:val="99"/>
    <w:rsid w:val="0060689C"/>
  </w:style>
  <w:style w:type="table" w:styleId="TableGrid">
    <w:name w:val="Table Grid"/>
    <w:basedOn w:val="TableNormal"/>
    <w:uiPriority w:val="39"/>
    <w:rsid w:val="00352A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B15D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15D8"/>
    <w:rPr>
      <w:rFonts w:ascii="Segoe UI" w:hAnsi="Segoe UI" w:cs="Segoe UI"/>
      <w:sz w:val="18"/>
      <w:szCs w:val="18"/>
    </w:rPr>
  </w:style>
  <w:style w:type="paragraph" w:styleId="NormalWeb">
    <w:name w:val="Normal (Web)"/>
    <w:basedOn w:val="Normal"/>
    <w:uiPriority w:val="99"/>
    <w:unhideWhenUsed/>
    <w:rsid w:val="00C60337"/>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Hyperlink">
    <w:name w:val="Hyperlink"/>
    <w:basedOn w:val="DefaultParagraphFont"/>
    <w:uiPriority w:val="99"/>
    <w:semiHidden/>
    <w:unhideWhenUsed/>
    <w:rsid w:val="00C60337"/>
    <w:rPr>
      <w:color w:val="0000FF"/>
      <w:u w:val="single"/>
    </w:rPr>
  </w:style>
  <w:style w:type="paragraph" w:styleId="ListParagraph">
    <w:name w:val="List Paragraph"/>
    <w:basedOn w:val="Normal"/>
    <w:uiPriority w:val="34"/>
    <w:qFormat/>
    <w:rsid w:val="00292AF6"/>
    <w:pPr>
      <w:spacing w:after="200" w:line="276" w:lineRule="auto"/>
      <w:ind w:left="720"/>
      <w:contextualSpacing/>
    </w:pPr>
  </w:style>
  <w:style w:type="paragraph" w:styleId="paragraph" w:customStyle="1">
    <w:name w:val="paragraph"/>
    <w:basedOn w:val="Normal"/>
    <w:rsid w:val="009F74F4"/>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DefaultParagraphFont"/>
    <w:rsid w:val="009F74F4"/>
  </w:style>
  <w:style w:type="character" w:styleId="eop" w:customStyle="1">
    <w:name w:val="eop"/>
    <w:basedOn w:val="DefaultParagraphFont"/>
    <w:rsid w:val="009F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41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39631EA140340B040167AA60618BD" ma:contentTypeVersion="16" ma:contentTypeDescription="Een nieuw document maken." ma:contentTypeScope="" ma:versionID="d97fc4dfc6cc4c576a1e1977f90eaa68">
  <xsd:schema xmlns:xsd="http://www.w3.org/2001/XMLSchema" xmlns:xs="http://www.w3.org/2001/XMLSchema" xmlns:p="http://schemas.microsoft.com/office/2006/metadata/properties" xmlns:ns2="f09ea809-55b0-4e92-9d57-078e3d7fe1d4" xmlns:ns3="a12716cb-a2ac-49e3-9242-3fae7f7e27ad" targetNamespace="http://schemas.microsoft.com/office/2006/metadata/properties" ma:root="true" ma:fieldsID="32777cc76177c3f1855a1b5c8547e858" ns2:_="" ns3:_="">
    <xsd:import namespace="f09ea809-55b0-4e92-9d57-078e3d7fe1d4"/>
    <xsd:import namespace="a12716cb-a2ac-49e3-9242-3fae7f7e27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ea809-55b0-4e92-9d57-078e3d7fe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7af4b18-1410-460e-a0d3-fcf4d224e0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2716cb-a2ac-49e3-9242-3fae7f7e27a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12ded05-59c5-433d-a3b4-25db299021e3}" ma:internalName="TaxCatchAll" ma:showField="CatchAllData" ma:web="a12716cb-a2ac-49e3-9242-3fae7f7e2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2716cb-a2ac-49e3-9242-3fae7f7e27ad" xsi:nil="true"/>
    <lcf76f155ced4ddcb4097134ff3c332f xmlns="f09ea809-55b0-4e92-9d57-078e3d7fe1d4">
      <Terms xmlns="http://schemas.microsoft.com/office/infopath/2007/PartnerControls"/>
    </lcf76f155ced4ddcb4097134ff3c332f>
    <SharedWithUsers xmlns="a12716cb-a2ac-49e3-9242-3fae7f7e27ad">
      <UserInfo>
        <DisplayName>mt@basisschooldewissel.nl - Leden</DisplayName>
        <AccountId>237</AccountId>
        <AccountType/>
      </UserInfo>
    </SharedWithUsers>
  </documentManagement>
</p:properties>
</file>

<file path=customXml/itemProps1.xml><?xml version="1.0" encoding="utf-8"?>
<ds:datastoreItem xmlns:ds="http://schemas.openxmlformats.org/officeDocument/2006/customXml" ds:itemID="{033C190B-61B1-462C-B275-255FE4C31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ea809-55b0-4e92-9d57-078e3d7fe1d4"/>
    <ds:schemaRef ds:uri="a12716cb-a2ac-49e3-9242-3fae7f7e2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6BAD3-D72C-477E-B56C-4D9D4CC3752C}">
  <ds:schemaRefs>
    <ds:schemaRef ds:uri="http://schemas.microsoft.com/sharepoint/v3/contenttype/forms"/>
  </ds:schemaRefs>
</ds:datastoreItem>
</file>

<file path=customXml/itemProps3.xml><?xml version="1.0" encoding="utf-8"?>
<ds:datastoreItem xmlns:ds="http://schemas.openxmlformats.org/officeDocument/2006/customXml" ds:itemID="{1A0FC1DF-2FDC-432B-8F8D-E3152D352B70}">
  <ds:schemaRefs>
    <ds:schemaRef ds:uri="http://schemas.microsoft.com/office/2006/metadata/properties"/>
    <ds:schemaRef ds:uri="http://schemas.microsoft.com/office/infopath/2007/PartnerControls"/>
    <ds:schemaRef ds:uri="a12716cb-a2ac-49e3-9242-3fae7f7e27ad"/>
    <ds:schemaRef ds:uri="f09ea809-55b0-4e92-9d57-078e3d7fe1d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Natasja Hoogerheide</dc:creator>
  <keywords/>
  <dc:description/>
  <lastModifiedBy>Lisette van Tintelen</lastModifiedBy>
  <revision>61</revision>
  <dcterms:created xsi:type="dcterms:W3CDTF">2020-01-03T00:42:00.0000000Z</dcterms:created>
  <dcterms:modified xsi:type="dcterms:W3CDTF">2022-10-05T08:01:17.1565620Z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0x010100F8B39631EA140340B040167AA60618BD</vt:lpwstr>
  </property>
  <property fmtid="{D5CDD505-2E9C-101B-9397-08002B2CF9AE}" pid="3" name="MediaServiceImageTags">
    <vt:lpwstr/>
  </property>
</Properties>
</file>