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1696" w14:textId="77777777" w:rsidR="00AB7A82" w:rsidRDefault="00000000">
      <w:pPr>
        <w:spacing w:after="160" w:line="259" w:lineRule="auto"/>
        <w:rPr>
          <w:rFonts w:ascii="Calibri" w:eastAsia="Calibri" w:hAnsi="Calibri" w:cs="Calibri"/>
        </w:rPr>
      </w:pPr>
      <w:bookmarkStart w:id="0" w:name="_heading=h.gjdgxs" w:colFirst="0" w:colLast="0"/>
      <w:bookmarkEnd w:id="0"/>
      <w:r>
        <w:rPr>
          <w:rFonts w:ascii="Calibri" w:eastAsia="Calibri" w:hAnsi="Calibri" w:cs="Calibri"/>
          <w:b/>
          <w:color w:val="0070C0"/>
          <w:sz w:val="24"/>
          <w:szCs w:val="24"/>
        </w:rPr>
        <w:t xml:space="preserve">Schoolondersteuningsprofiel van IBS Tarieq Ibnoe Ziyad </w:t>
      </w:r>
    </w:p>
    <w:p w14:paraId="05E41F16" w14:textId="77777777" w:rsidR="00AB7A82" w:rsidRDefault="00AB7A82"/>
    <w:tbl>
      <w:tblPr>
        <w:tblStyle w:val="a0"/>
        <w:tblW w:w="139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7"/>
        <w:gridCol w:w="6977"/>
      </w:tblGrid>
      <w:tr w:rsidR="00AB7A82" w14:paraId="0ADAB815" w14:textId="77777777">
        <w:tc>
          <w:tcPr>
            <w:tcW w:w="6977" w:type="dxa"/>
            <w:shd w:val="clear" w:color="auto" w:fill="auto"/>
            <w:tcMar>
              <w:top w:w="100" w:type="dxa"/>
              <w:left w:w="100" w:type="dxa"/>
              <w:bottom w:w="100" w:type="dxa"/>
              <w:right w:w="100" w:type="dxa"/>
            </w:tcMar>
          </w:tcPr>
          <w:p w14:paraId="1B893103" w14:textId="77777777" w:rsidR="00AB7A82" w:rsidRDefault="00000000">
            <w:pPr>
              <w:widowControl w:val="0"/>
              <w:pBdr>
                <w:top w:val="nil"/>
                <w:left w:val="nil"/>
                <w:bottom w:val="nil"/>
                <w:right w:val="nil"/>
                <w:between w:val="nil"/>
              </w:pBd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 xml:space="preserve">Algemene gegevens: </w:t>
            </w:r>
          </w:p>
          <w:p w14:paraId="792A0565" w14:textId="77777777" w:rsidR="00AB7A82" w:rsidRDefault="00000000">
            <w:pPr>
              <w:spacing w:line="240" w:lineRule="auto"/>
              <w:rPr>
                <w:rFonts w:ascii="Calibri" w:eastAsia="Calibri" w:hAnsi="Calibri" w:cs="Calibri"/>
                <w:b/>
              </w:rPr>
            </w:pPr>
            <w:r>
              <w:rPr>
                <w:rFonts w:ascii="Calibri" w:eastAsia="Calibri" w:hAnsi="Calibri" w:cs="Calibri"/>
                <w:b/>
              </w:rPr>
              <w:t>Basisschool Tarieq Ibnoe Ziyad</w:t>
            </w:r>
          </w:p>
          <w:p w14:paraId="5C1DF491" w14:textId="77777777" w:rsidR="00AB7A82" w:rsidRDefault="00000000">
            <w:pPr>
              <w:spacing w:line="240" w:lineRule="auto"/>
              <w:rPr>
                <w:rFonts w:ascii="Calibri" w:eastAsia="Calibri" w:hAnsi="Calibri" w:cs="Calibri"/>
              </w:rPr>
            </w:pPr>
            <w:r>
              <w:rPr>
                <w:rFonts w:ascii="Calibri" w:eastAsia="Calibri" w:hAnsi="Calibri" w:cs="Calibri"/>
              </w:rPr>
              <w:t>Frankrijkstraat 79</w:t>
            </w:r>
          </w:p>
          <w:p w14:paraId="043C48B4" w14:textId="77777777" w:rsidR="00AB7A82" w:rsidRDefault="00000000">
            <w:pPr>
              <w:spacing w:line="240" w:lineRule="auto"/>
              <w:rPr>
                <w:rFonts w:ascii="Calibri" w:eastAsia="Calibri" w:hAnsi="Calibri" w:cs="Calibri"/>
              </w:rPr>
            </w:pPr>
            <w:r>
              <w:rPr>
                <w:rFonts w:ascii="Calibri" w:eastAsia="Calibri" w:hAnsi="Calibri" w:cs="Calibri"/>
              </w:rPr>
              <w:t>5622AE Eindhoven</w:t>
            </w:r>
          </w:p>
          <w:p w14:paraId="17BDD5B2" w14:textId="77777777" w:rsidR="00AB7A82" w:rsidRDefault="00000000">
            <w:pPr>
              <w:spacing w:line="240" w:lineRule="auto"/>
              <w:rPr>
                <w:rFonts w:ascii="Calibri" w:eastAsia="Calibri" w:hAnsi="Calibri" w:cs="Calibri"/>
              </w:rPr>
            </w:pPr>
            <w:r>
              <w:rPr>
                <w:rFonts w:ascii="Calibri" w:eastAsia="Calibri" w:hAnsi="Calibri" w:cs="Calibri"/>
              </w:rPr>
              <w:t>Tel: 040-2460356</w:t>
            </w:r>
          </w:p>
          <w:p w14:paraId="68BBB8E5" w14:textId="77777777" w:rsidR="00AB7A82" w:rsidRDefault="00000000">
            <w:pPr>
              <w:spacing w:line="240" w:lineRule="auto"/>
              <w:rPr>
                <w:rFonts w:ascii="Calibri" w:eastAsia="Calibri" w:hAnsi="Calibri" w:cs="Calibri"/>
              </w:rPr>
            </w:pPr>
            <w:r>
              <w:rPr>
                <w:rFonts w:ascii="Calibri" w:eastAsia="Calibri" w:hAnsi="Calibri" w:cs="Calibri"/>
              </w:rPr>
              <w:t xml:space="preserve">Email: </w:t>
            </w:r>
            <w:hyperlink r:id="rId6">
              <w:r>
                <w:rPr>
                  <w:rFonts w:ascii="Calibri" w:eastAsia="Calibri" w:hAnsi="Calibri" w:cs="Calibri"/>
                  <w:color w:val="0563C1"/>
                  <w:u w:val="single"/>
                </w:rPr>
                <w:t>info@tarieq.nl</w:t>
              </w:r>
            </w:hyperlink>
            <w:r>
              <w:rPr>
                <w:rFonts w:ascii="Calibri" w:eastAsia="Calibri" w:hAnsi="Calibri" w:cs="Calibri"/>
              </w:rPr>
              <w:t xml:space="preserve"> </w:t>
            </w:r>
          </w:p>
          <w:p w14:paraId="04B121FB" w14:textId="77777777" w:rsidR="00AB7A82" w:rsidRDefault="00000000">
            <w:pPr>
              <w:spacing w:line="240" w:lineRule="auto"/>
              <w:rPr>
                <w:rFonts w:ascii="Calibri" w:eastAsia="Calibri" w:hAnsi="Calibri" w:cs="Calibri"/>
                <w:b/>
                <w:color w:val="0070C0"/>
                <w:sz w:val="24"/>
                <w:szCs w:val="24"/>
              </w:rPr>
            </w:pPr>
            <w:r>
              <w:rPr>
                <w:rFonts w:ascii="Calibri" w:eastAsia="Calibri" w:hAnsi="Calibri" w:cs="Calibri"/>
              </w:rPr>
              <w:t xml:space="preserve">Stichting IEZO     </w:t>
            </w:r>
          </w:p>
        </w:tc>
        <w:tc>
          <w:tcPr>
            <w:tcW w:w="6977" w:type="dxa"/>
            <w:shd w:val="clear" w:color="auto" w:fill="auto"/>
            <w:tcMar>
              <w:top w:w="100" w:type="dxa"/>
              <w:left w:w="100" w:type="dxa"/>
              <w:bottom w:w="100" w:type="dxa"/>
              <w:right w:w="100" w:type="dxa"/>
            </w:tcMar>
          </w:tcPr>
          <w:p w14:paraId="1A71462B" w14:textId="77777777" w:rsidR="00AB7A82" w:rsidRDefault="00000000">
            <w:pPr>
              <w:widowControl w:val="0"/>
              <w:pBdr>
                <w:top w:val="nil"/>
                <w:left w:val="nil"/>
                <w:bottom w:val="nil"/>
                <w:right w:val="nil"/>
                <w:between w:val="nil"/>
              </w:pBd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 xml:space="preserve">Onderscheidende voorzieningen: </w:t>
            </w:r>
          </w:p>
          <w:p w14:paraId="069DAB01" w14:textId="77777777" w:rsidR="00AB7A82" w:rsidRDefault="00000000">
            <w:pPr>
              <w:spacing w:line="240" w:lineRule="auto"/>
              <w:rPr>
                <w:rFonts w:ascii="Calibri" w:eastAsia="Calibri" w:hAnsi="Calibri" w:cs="Calibri"/>
                <w:b/>
                <w:color w:val="0070C0"/>
                <w:sz w:val="24"/>
                <w:szCs w:val="24"/>
              </w:rPr>
            </w:pPr>
            <w:r>
              <w:rPr>
                <w:rFonts w:ascii="Calibri" w:eastAsia="Calibri" w:hAnsi="Calibri" w:cs="Calibri"/>
                <w:i/>
                <w:sz w:val="18"/>
                <w:szCs w:val="18"/>
              </w:rPr>
              <w:t>Het gaat hier om een onderscheidend aanbod op je SPILcentrum. Bijvoorbeeld een plusklas, een bijzonder naschools aanbod.</w:t>
            </w:r>
          </w:p>
          <w:p w14:paraId="69B5EE7F" w14:textId="77777777" w:rsidR="00AB7A82" w:rsidRDefault="00000000">
            <w:pPr>
              <w:widowControl w:val="0"/>
              <w:numPr>
                <w:ilvl w:val="0"/>
                <w:numId w:val="2"/>
              </w:numPr>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Plusklas middels de methode Levelwerk.</w:t>
            </w:r>
          </w:p>
          <w:p w14:paraId="038B73A1" w14:textId="77777777" w:rsidR="00AB7A82" w:rsidRDefault="00000000">
            <w:pPr>
              <w:widowControl w:val="0"/>
              <w:numPr>
                <w:ilvl w:val="0"/>
                <w:numId w:val="2"/>
              </w:numPr>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Schakelklasvoorziening  voor extra taalaanbod (NT2 leerlingen). </w:t>
            </w:r>
          </w:p>
          <w:p w14:paraId="17DF93C6"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Begeleiding door een pedagoog voor leerlingen met een specifieke onderwijsbehoefte (prikkelverwerking, concentratie en sociaal-emotionele ontwikkeling). Dit gebeurt zowel in de klas als daarbuiten in een daarvoor ingerichte ruimte (huiskamer). </w:t>
            </w:r>
          </w:p>
          <w:p w14:paraId="7734D3D1"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Levensbeschouwelijke lessen voor alle groepen. </w:t>
            </w:r>
          </w:p>
          <w:p w14:paraId="40AEDE4E"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Opvoedondersteuning middels Triple P aan ouders.</w:t>
            </w:r>
          </w:p>
          <w:p w14:paraId="0F932709" w14:textId="77777777" w:rsidR="00AB7A82" w:rsidRDefault="00AB7A82">
            <w:pPr>
              <w:widowControl w:val="0"/>
              <w:pBdr>
                <w:top w:val="nil"/>
                <w:left w:val="nil"/>
                <w:bottom w:val="nil"/>
                <w:right w:val="nil"/>
                <w:between w:val="nil"/>
              </w:pBdr>
              <w:spacing w:line="240" w:lineRule="auto"/>
              <w:ind w:left="720"/>
              <w:rPr>
                <w:rFonts w:ascii="Calibri" w:eastAsia="Calibri" w:hAnsi="Calibri" w:cs="Calibri"/>
                <w:sz w:val="18"/>
                <w:szCs w:val="18"/>
              </w:rPr>
            </w:pPr>
          </w:p>
          <w:p w14:paraId="1B4D4FCD" w14:textId="77777777" w:rsidR="00AB7A82" w:rsidRDefault="00AB7A82">
            <w:pPr>
              <w:widowControl w:val="0"/>
              <w:pBdr>
                <w:top w:val="nil"/>
                <w:left w:val="nil"/>
                <w:bottom w:val="nil"/>
                <w:right w:val="nil"/>
                <w:between w:val="nil"/>
              </w:pBdr>
              <w:spacing w:line="240" w:lineRule="auto"/>
              <w:rPr>
                <w:rFonts w:ascii="Calibri" w:eastAsia="Calibri" w:hAnsi="Calibri" w:cs="Calibri"/>
                <w:b/>
                <w:color w:val="0070C0"/>
                <w:sz w:val="24"/>
                <w:szCs w:val="24"/>
              </w:rPr>
            </w:pPr>
          </w:p>
          <w:p w14:paraId="7FFB228B" w14:textId="77777777" w:rsidR="00AB7A82" w:rsidRDefault="00AB7A82">
            <w:pPr>
              <w:widowControl w:val="0"/>
              <w:pBdr>
                <w:top w:val="nil"/>
                <w:left w:val="nil"/>
                <w:bottom w:val="nil"/>
                <w:right w:val="nil"/>
                <w:between w:val="nil"/>
              </w:pBdr>
              <w:spacing w:line="240" w:lineRule="auto"/>
              <w:rPr>
                <w:rFonts w:ascii="Calibri" w:eastAsia="Calibri" w:hAnsi="Calibri" w:cs="Calibri"/>
                <w:b/>
                <w:color w:val="0070C0"/>
                <w:sz w:val="24"/>
                <w:szCs w:val="24"/>
              </w:rPr>
            </w:pPr>
          </w:p>
          <w:p w14:paraId="60691BBD" w14:textId="77777777" w:rsidR="00AB7A82" w:rsidRDefault="00AB7A82">
            <w:pPr>
              <w:widowControl w:val="0"/>
              <w:pBdr>
                <w:top w:val="nil"/>
                <w:left w:val="nil"/>
                <w:bottom w:val="nil"/>
                <w:right w:val="nil"/>
                <w:between w:val="nil"/>
              </w:pBdr>
              <w:spacing w:line="240" w:lineRule="auto"/>
              <w:rPr>
                <w:rFonts w:ascii="Calibri" w:eastAsia="Calibri" w:hAnsi="Calibri" w:cs="Calibri"/>
                <w:b/>
                <w:color w:val="0070C0"/>
                <w:sz w:val="24"/>
                <w:szCs w:val="24"/>
              </w:rPr>
            </w:pPr>
          </w:p>
          <w:p w14:paraId="3B5A1B6B" w14:textId="77777777" w:rsidR="00AB7A82" w:rsidRDefault="00AB7A82">
            <w:pPr>
              <w:widowControl w:val="0"/>
              <w:pBdr>
                <w:top w:val="nil"/>
                <w:left w:val="nil"/>
                <w:bottom w:val="nil"/>
                <w:right w:val="nil"/>
                <w:between w:val="nil"/>
              </w:pBdr>
              <w:spacing w:line="240" w:lineRule="auto"/>
              <w:rPr>
                <w:rFonts w:ascii="Calibri" w:eastAsia="Calibri" w:hAnsi="Calibri" w:cs="Calibri"/>
                <w:b/>
                <w:color w:val="0070C0"/>
                <w:sz w:val="24"/>
                <w:szCs w:val="24"/>
              </w:rPr>
            </w:pPr>
          </w:p>
        </w:tc>
      </w:tr>
      <w:tr w:rsidR="00AB7A82" w14:paraId="601F2751" w14:textId="77777777">
        <w:tc>
          <w:tcPr>
            <w:tcW w:w="6977" w:type="dxa"/>
            <w:shd w:val="clear" w:color="auto" w:fill="auto"/>
            <w:tcMar>
              <w:top w:w="100" w:type="dxa"/>
              <w:left w:w="100" w:type="dxa"/>
              <w:bottom w:w="100" w:type="dxa"/>
              <w:right w:w="100" w:type="dxa"/>
            </w:tcMar>
          </w:tcPr>
          <w:p w14:paraId="03D4B9CD" w14:textId="77777777" w:rsidR="00AB7A82" w:rsidRDefault="00000000">
            <w:pPr>
              <w:widowControl w:val="0"/>
              <w:pBdr>
                <w:top w:val="nil"/>
                <w:left w:val="nil"/>
                <w:bottom w:val="nil"/>
                <w:right w:val="nil"/>
                <w:between w:val="nil"/>
              </w:pBd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 xml:space="preserve">Beschrijving onderwijsconcept: </w:t>
            </w:r>
          </w:p>
          <w:p w14:paraId="12E89B7B" w14:textId="77777777" w:rsidR="00AB7A82" w:rsidRDefault="00000000">
            <w:pPr>
              <w:spacing w:line="240" w:lineRule="auto"/>
              <w:rPr>
                <w:rFonts w:ascii="Calibri" w:eastAsia="Calibri" w:hAnsi="Calibri" w:cs="Calibri"/>
              </w:rPr>
            </w:pPr>
            <w:r>
              <w:rPr>
                <w:rFonts w:ascii="Calibri" w:eastAsia="Calibri" w:hAnsi="Calibri" w:cs="Calibri"/>
                <w:i/>
                <w:sz w:val="18"/>
                <w:szCs w:val="18"/>
              </w:rPr>
              <w:t>Kort en bondig. Wat onderscheidt je van andere scholen?</w:t>
            </w:r>
          </w:p>
          <w:p w14:paraId="00A18565" w14:textId="77777777" w:rsidR="00AB7A82" w:rsidRDefault="00000000">
            <w:pPr>
              <w:spacing w:line="240" w:lineRule="auto"/>
              <w:rPr>
                <w:rFonts w:ascii="Calibri" w:eastAsia="Calibri" w:hAnsi="Calibri" w:cs="Calibri"/>
                <w:i/>
                <w:sz w:val="18"/>
                <w:szCs w:val="18"/>
              </w:rPr>
            </w:pPr>
            <w:r>
              <w:rPr>
                <w:rFonts w:ascii="Calibri" w:eastAsia="Calibri" w:hAnsi="Calibri" w:cs="Calibri"/>
                <w:i/>
                <w:sz w:val="18"/>
                <w:szCs w:val="18"/>
              </w:rPr>
              <w:t>Regulier onderwijs</w:t>
            </w:r>
          </w:p>
          <w:p w14:paraId="4F8720A6" w14:textId="77777777" w:rsidR="00AB7A82" w:rsidRDefault="00AB7A82">
            <w:pPr>
              <w:spacing w:line="240" w:lineRule="auto"/>
              <w:rPr>
                <w:rFonts w:ascii="Calibri" w:eastAsia="Calibri" w:hAnsi="Calibri" w:cs="Calibri"/>
                <w:i/>
                <w:sz w:val="18"/>
                <w:szCs w:val="18"/>
              </w:rPr>
            </w:pPr>
          </w:p>
          <w:p w14:paraId="0DFC598D" w14:textId="77777777" w:rsidR="00AB7A82" w:rsidRDefault="00000000">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Nederlandse basisschool op Islamitische grondslag (zie website iezo.nl voor meer info). </w:t>
            </w:r>
          </w:p>
          <w:p w14:paraId="25041B9D" w14:textId="77777777" w:rsidR="00AB7A82" w:rsidRDefault="00000000">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Leerstofjaarklassensysteem met convergente differentiatie. </w:t>
            </w:r>
          </w:p>
          <w:p w14:paraId="29A42204" w14:textId="77777777" w:rsidR="00AB7A82" w:rsidRDefault="00000000">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HGW (handelingsgericht werken) in combinatie met OGW(opbrengstgericht werken). Als hulpmiddel hanteren we het MM model (Mickey Mouse Model). </w:t>
            </w:r>
          </w:p>
          <w:p w14:paraId="18B9ADFA" w14:textId="77777777" w:rsidR="00AB7A82" w:rsidRDefault="00000000">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We hanteren het document Ondersteuningsniveaus om de basisondersteuning vorm te geven, zie bijlage.  </w:t>
            </w:r>
          </w:p>
        </w:tc>
        <w:tc>
          <w:tcPr>
            <w:tcW w:w="6977" w:type="dxa"/>
            <w:shd w:val="clear" w:color="auto" w:fill="auto"/>
            <w:tcMar>
              <w:top w:w="100" w:type="dxa"/>
              <w:left w:w="100" w:type="dxa"/>
              <w:bottom w:w="100" w:type="dxa"/>
              <w:right w:w="100" w:type="dxa"/>
            </w:tcMar>
          </w:tcPr>
          <w:p w14:paraId="2653FDFA" w14:textId="77777777" w:rsidR="00AB7A82" w:rsidRDefault="00000000">
            <w:pPr>
              <w:widowControl w:val="0"/>
              <w:pBdr>
                <w:top w:val="nil"/>
                <w:left w:val="nil"/>
                <w:bottom w:val="nil"/>
                <w:right w:val="nil"/>
                <w:between w:val="nil"/>
              </w:pBd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 xml:space="preserve">Basisondersteuning minimaal: </w:t>
            </w:r>
          </w:p>
          <w:p w14:paraId="7F433576" w14:textId="77777777" w:rsidR="00AB7A82" w:rsidRDefault="00000000">
            <w:pPr>
              <w:spacing w:line="240" w:lineRule="auto"/>
              <w:rPr>
                <w:rFonts w:ascii="Calibri" w:eastAsia="Calibri" w:hAnsi="Calibri" w:cs="Calibri"/>
                <w:i/>
                <w:sz w:val="18"/>
                <w:szCs w:val="18"/>
              </w:rPr>
            </w:pPr>
            <w:r>
              <w:rPr>
                <w:rFonts w:ascii="Calibri" w:eastAsia="Calibri" w:hAnsi="Calibri" w:cs="Calibri"/>
                <w:i/>
                <w:sz w:val="18"/>
                <w:szCs w:val="18"/>
              </w:rPr>
              <w:t>Afspraak binnen het Samenwerkingsverband is dat de basisondersteuning op de scholen minimaal voldoet aan de basisondersteuning zoals vastgelegd in het document Ondersteuningsplan 2023-2024.</w:t>
            </w:r>
          </w:p>
          <w:p w14:paraId="5066E14F" w14:textId="77777777" w:rsidR="00AB7A82" w:rsidRDefault="00AB7A82">
            <w:pPr>
              <w:spacing w:line="240" w:lineRule="auto"/>
              <w:rPr>
                <w:rFonts w:ascii="Calibri" w:eastAsia="Calibri" w:hAnsi="Calibri" w:cs="Calibri"/>
                <w:sz w:val="18"/>
                <w:szCs w:val="18"/>
              </w:rPr>
            </w:pPr>
          </w:p>
          <w:p w14:paraId="15DE6DB1" w14:textId="77777777" w:rsidR="00AB7A82" w:rsidRDefault="00000000">
            <w:pPr>
              <w:spacing w:line="240" w:lineRule="auto"/>
              <w:rPr>
                <w:rFonts w:ascii="Calibri" w:eastAsia="Calibri" w:hAnsi="Calibri" w:cs="Calibri"/>
                <w:sz w:val="18"/>
                <w:szCs w:val="18"/>
              </w:rPr>
            </w:pPr>
            <w:r>
              <w:rPr>
                <w:rFonts w:ascii="Calibri" w:eastAsia="Calibri" w:hAnsi="Calibri" w:cs="Calibri"/>
                <w:sz w:val="18"/>
                <w:szCs w:val="18"/>
              </w:rPr>
              <w:t xml:space="preserve">Binnen ons Spilcentrum is er zorg voor alle leerlingen. Het zorgteam bestaande uit; twee interne begeleiders (onder- en bovenbouw) en de orthopedagoog organiseert en coördineert de interne zorgstructuur. Daarnaast is er een pedagoog aanwezig. </w:t>
            </w:r>
          </w:p>
          <w:p w14:paraId="1122D88D" w14:textId="77777777" w:rsidR="00AB7A82" w:rsidRDefault="00000000">
            <w:pPr>
              <w:spacing w:line="240" w:lineRule="auto"/>
              <w:rPr>
                <w:rFonts w:ascii="Calibri" w:eastAsia="Calibri" w:hAnsi="Calibri" w:cs="Calibri"/>
                <w:sz w:val="18"/>
                <w:szCs w:val="18"/>
              </w:rPr>
            </w:pPr>
            <w:r>
              <w:rPr>
                <w:rFonts w:ascii="Calibri" w:eastAsia="Calibri" w:hAnsi="Calibri" w:cs="Calibri"/>
                <w:sz w:val="18"/>
                <w:szCs w:val="18"/>
              </w:rPr>
              <w:t xml:space="preserve">De interne begeleiders organiseren jaarlijks vier groepsbesprekingen en vier leerlingbesprekingen waarin de ontwikkelingen van de kinderen worden gevolgd. Tijdens deze besprekingen worden individuele plannen en interventies besproken en vastgelegd. Middels het MM model worden de leerdoelen en aanpak  van de groep en de individuele leerlingen systematisch bijgehouden en besproken. </w:t>
            </w:r>
          </w:p>
          <w:p w14:paraId="00DA4403" w14:textId="77777777" w:rsidR="00AB7A82" w:rsidRDefault="00000000">
            <w:pPr>
              <w:spacing w:line="240" w:lineRule="auto"/>
              <w:rPr>
                <w:rFonts w:ascii="Calibri" w:eastAsia="Calibri" w:hAnsi="Calibri" w:cs="Calibri"/>
                <w:sz w:val="18"/>
                <w:szCs w:val="18"/>
              </w:rPr>
            </w:pPr>
            <w:r>
              <w:rPr>
                <w:rFonts w:ascii="Calibri" w:eastAsia="Calibri" w:hAnsi="Calibri" w:cs="Calibri"/>
                <w:sz w:val="18"/>
                <w:szCs w:val="18"/>
              </w:rPr>
              <w:t xml:space="preserve"> </w:t>
            </w:r>
          </w:p>
          <w:p w14:paraId="506FCFB3" w14:textId="77777777" w:rsidR="00AB7A82" w:rsidRDefault="00AB7A82">
            <w:pPr>
              <w:spacing w:line="240" w:lineRule="auto"/>
              <w:rPr>
                <w:rFonts w:ascii="Calibri" w:eastAsia="Calibri" w:hAnsi="Calibri" w:cs="Calibri"/>
                <w:i/>
                <w:sz w:val="18"/>
                <w:szCs w:val="18"/>
              </w:rPr>
            </w:pPr>
          </w:p>
          <w:p w14:paraId="6C7FF119" w14:textId="77777777" w:rsidR="00AB7A82" w:rsidRDefault="00AB7A82">
            <w:pPr>
              <w:spacing w:line="240" w:lineRule="auto"/>
              <w:rPr>
                <w:rFonts w:ascii="Calibri" w:eastAsia="Calibri" w:hAnsi="Calibri" w:cs="Calibri"/>
                <w:i/>
                <w:sz w:val="20"/>
                <w:szCs w:val="20"/>
              </w:rPr>
            </w:pPr>
          </w:p>
          <w:p w14:paraId="0351470B" w14:textId="77777777" w:rsidR="00AB7A82" w:rsidRDefault="00AB7A82">
            <w:pPr>
              <w:spacing w:line="240" w:lineRule="auto"/>
              <w:rPr>
                <w:rFonts w:ascii="Calibri" w:eastAsia="Calibri" w:hAnsi="Calibri" w:cs="Calibri"/>
                <w:i/>
                <w:sz w:val="20"/>
                <w:szCs w:val="20"/>
              </w:rPr>
            </w:pPr>
          </w:p>
        </w:tc>
      </w:tr>
      <w:tr w:rsidR="00AB7A82" w14:paraId="19CA010C" w14:textId="77777777">
        <w:tc>
          <w:tcPr>
            <w:tcW w:w="6977" w:type="dxa"/>
            <w:shd w:val="clear" w:color="auto" w:fill="auto"/>
            <w:tcMar>
              <w:top w:w="100" w:type="dxa"/>
              <w:left w:w="100" w:type="dxa"/>
              <w:bottom w:w="100" w:type="dxa"/>
              <w:right w:w="100" w:type="dxa"/>
            </w:tcMar>
          </w:tcPr>
          <w:p w14:paraId="263442B8" w14:textId="77777777" w:rsidR="00AB7A82" w:rsidRDefault="00000000">
            <w:pPr>
              <w:widowControl w:val="0"/>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lastRenderedPageBreak/>
              <w:t>School biedt de volgende extra ondersteuning:</w:t>
            </w:r>
          </w:p>
          <w:p w14:paraId="3DF053BA" w14:textId="77777777" w:rsidR="00AB7A82" w:rsidRDefault="00000000">
            <w:pPr>
              <w:spacing w:line="240" w:lineRule="auto"/>
              <w:rPr>
                <w:rFonts w:ascii="Calibri" w:eastAsia="Calibri" w:hAnsi="Calibri" w:cs="Calibri"/>
                <w:i/>
                <w:sz w:val="18"/>
                <w:szCs w:val="18"/>
              </w:rPr>
            </w:pPr>
            <w:r>
              <w:rPr>
                <w:rFonts w:ascii="Calibri" w:eastAsia="Calibri" w:hAnsi="Calibri" w:cs="Calibri"/>
                <w:i/>
                <w:sz w:val="18"/>
                <w:szCs w:val="18"/>
              </w:rPr>
              <w:t>Welke extra ondersteuning, evt. in samenwerking met (externe) partners, wordt (vanuit de zware ondersteuningsmiddelen) gerealiseerd op leerling,- groep,- of schoolniveau?</w:t>
            </w:r>
          </w:p>
          <w:p w14:paraId="47C8D9F7" w14:textId="77777777" w:rsidR="00AB7A82" w:rsidRDefault="00AB7A82">
            <w:pPr>
              <w:spacing w:line="240" w:lineRule="auto"/>
              <w:rPr>
                <w:rFonts w:ascii="Calibri" w:eastAsia="Calibri" w:hAnsi="Calibri" w:cs="Calibri"/>
                <w:i/>
                <w:sz w:val="18"/>
                <w:szCs w:val="18"/>
              </w:rPr>
            </w:pPr>
          </w:p>
          <w:p w14:paraId="7F5EB8EF"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Samenwerking stichting T-huis en de EVI Foundation voor extra ondersteuning in de vorm van RT voor de middenbouw. </w:t>
            </w:r>
          </w:p>
          <w:p w14:paraId="6FE9B1B7"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RT op het gebied van Rekenen en Begrijpend Lezen vanuit stichting SSOE.  </w:t>
            </w:r>
          </w:p>
          <w:p w14:paraId="7353B449"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Begeleiding vanuit het Autisme Steunpunt.</w:t>
            </w:r>
          </w:p>
          <w:p w14:paraId="6D3849A1" w14:textId="77777777" w:rsidR="00AB7A82" w:rsidRDefault="00000000">
            <w:pPr>
              <w:widowControl w:val="0"/>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Begeleiding en ondersteuning van een gedragsspecialist van de Rungraaf voor leerlingen met specifieke gedragskenmerken.  </w:t>
            </w:r>
          </w:p>
          <w:p w14:paraId="236DA219" w14:textId="77777777" w:rsidR="00AB7A82" w:rsidRDefault="00AB7A82">
            <w:pPr>
              <w:widowControl w:val="0"/>
              <w:spacing w:line="240" w:lineRule="auto"/>
              <w:rPr>
                <w:rFonts w:ascii="Calibri" w:eastAsia="Calibri" w:hAnsi="Calibri" w:cs="Calibri"/>
                <w:b/>
                <w:color w:val="0070C0"/>
                <w:sz w:val="24"/>
                <w:szCs w:val="24"/>
              </w:rPr>
            </w:pPr>
          </w:p>
          <w:p w14:paraId="3FF04F41" w14:textId="77777777" w:rsidR="00AB7A82" w:rsidRDefault="00AB7A82">
            <w:pPr>
              <w:spacing w:line="240" w:lineRule="auto"/>
            </w:pPr>
          </w:p>
        </w:tc>
        <w:tc>
          <w:tcPr>
            <w:tcW w:w="6977" w:type="dxa"/>
            <w:shd w:val="clear" w:color="auto" w:fill="auto"/>
            <w:tcMar>
              <w:top w:w="100" w:type="dxa"/>
              <w:left w:w="100" w:type="dxa"/>
              <w:bottom w:w="100" w:type="dxa"/>
              <w:right w:w="100" w:type="dxa"/>
            </w:tcMar>
          </w:tcPr>
          <w:p w14:paraId="011D56F8" w14:textId="77777777" w:rsidR="00AB7A82" w:rsidRDefault="00000000">
            <w:pPr>
              <w:widowControl w:val="0"/>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School richt zich op het verhogen van de basisondersteuning ten aanzien van:</w:t>
            </w:r>
          </w:p>
          <w:p w14:paraId="5D9E2037" w14:textId="77777777" w:rsidR="00AB7A82" w:rsidRDefault="00000000">
            <w:pPr>
              <w:widowControl w:val="0"/>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Aanpak basisvaardigheden op het gebied van Rekenen, Taal en burgerschap. </w:t>
            </w:r>
          </w:p>
          <w:p w14:paraId="1646B9B2" w14:textId="77777777" w:rsidR="00AB7A82" w:rsidRDefault="00000000">
            <w:pPr>
              <w:widowControl w:val="0"/>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Op de scholen worden de teams betrokken door samen inzichten op te doen, meer kennis te vergaren en vervolgens samen te bepalen hoe de aanpak eruit komt te zien. Een bovenschoolse werkgroep zal dit proces leiden. </w:t>
            </w:r>
          </w:p>
          <w:p w14:paraId="324EAD31" w14:textId="77777777" w:rsidR="00AB7A82" w:rsidRDefault="00000000">
            <w:pPr>
              <w:widowControl w:val="0"/>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Een van de interventies is het  beredeneerd uitkiezen van een andere rekenmethode (3-8) in het schooljaar 2023-2024. In het schooljaar 2024-2025 volgt een methode voor taal/lezen. </w:t>
            </w:r>
          </w:p>
          <w:p w14:paraId="0F570E3D" w14:textId="77777777" w:rsidR="00AB7A82" w:rsidRDefault="00AB7A82">
            <w:pPr>
              <w:spacing w:line="240" w:lineRule="auto"/>
              <w:rPr>
                <w:rFonts w:ascii="Calibri" w:eastAsia="Calibri" w:hAnsi="Calibri" w:cs="Calibri"/>
                <w:i/>
                <w:sz w:val="18"/>
                <w:szCs w:val="18"/>
              </w:rPr>
            </w:pPr>
          </w:p>
        </w:tc>
      </w:tr>
      <w:tr w:rsidR="00AB7A82" w14:paraId="6A635FA6" w14:textId="77777777">
        <w:tc>
          <w:tcPr>
            <w:tcW w:w="6977" w:type="dxa"/>
            <w:shd w:val="clear" w:color="auto" w:fill="auto"/>
            <w:tcMar>
              <w:top w:w="100" w:type="dxa"/>
              <w:left w:w="100" w:type="dxa"/>
              <w:bottom w:w="100" w:type="dxa"/>
              <w:right w:w="100" w:type="dxa"/>
            </w:tcMar>
          </w:tcPr>
          <w:p w14:paraId="7596D663" w14:textId="77777777" w:rsidR="00AB7A82" w:rsidRDefault="00000000">
            <w:pPr>
              <w:widowControl w:val="0"/>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Ontwikkeldoelen van de school:</w:t>
            </w:r>
          </w:p>
          <w:p w14:paraId="36AB9A89" w14:textId="77777777" w:rsidR="00AB7A82"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In het schooljaar 2023-2024 gaat de school starten met;</w:t>
            </w:r>
          </w:p>
          <w:p w14:paraId="70545C4C" w14:textId="77777777" w:rsidR="00AB7A82" w:rsidRDefault="00000000">
            <w:pPr>
              <w:widowControl w:val="0"/>
              <w:numPr>
                <w:ilvl w:val="0"/>
                <w:numId w:val="3"/>
              </w:numPr>
              <w:spacing w:line="240" w:lineRule="auto"/>
              <w:rPr>
                <w:rFonts w:ascii="Calibri" w:eastAsia="Calibri" w:hAnsi="Calibri" w:cs="Calibri"/>
                <w:sz w:val="18"/>
                <w:szCs w:val="18"/>
              </w:rPr>
            </w:pPr>
            <w:r>
              <w:rPr>
                <w:rFonts w:ascii="Calibri" w:eastAsia="Calibri" w:hAnsi="Calibri" w:cs="Calibri"/>
                <w:sz w:val="18"/>
                <w:szCs w:val="18"/>
              </w:rPr>
              <w:t>De Transformatieve school.</w:t>
            </w:r>
          </w:p>
          <w:p w14:paraId="6F65CA57" w14:textId="77777777" w:rsidR="00AB7A82" w:rsidRDefault="00000000">
            <w:pPr>
              <w:widowControl w:val="0"/>
              <w:numPr>
                <w:ilvl w:val="0"/>
                <w:numId w:val="3"/>
              </w:numPr>
              <w:spacing w:line="240" w:lineRule="auto"/>
              <w:rPr>
                <w:rFonts w:ascii="Calibri" w:eastAsia="Calibri" w:hAnsi="Calibri" w:cs="Calibri"/>
                <w:sz w:val="18"/>
                <w:szCs w:val="18"/>
              </w:rPr>
            </w:pPr>
            <w:r>
              <w:rPr>
                <w:rFonts w:ascii="Calibri" w:eastAsia="Calibri" w:hAnsi="Calibri" w:cs="Calibri"/>
                <w:sz w:val="18"/>
                <w:szCs w:val="18"/>
              </w:rPr>
              <w:t xml:space="preserve">Implementatie Klassekracht. </w:t>
            </w:r>
          </w:p>
          <w:p w14:paraId="2F1059AD" w14:textId="77777777" w:rsidR="00AB7A82" w:rsidRDefault="00000000">
            <w:pPr>
              <w:widowControl w:val="0"/>
              <w:numPr>
                <w:ilvl w:val="0"/>
                <w:numId w:val="3"/>
              </w:numPr>
              <w:spacing w:line="240" w:lineRule="auto"/>
              <w:rPr>
                <w:rFonts w:ascii="Calibri" w:eastAsia="Calibri" w:hAnsi="Calibri" w:cs="Calibri"/>
                <w:sz w:val="18"/>
                <w:szCs w:val="18"/>
              </w:rPr>
            </w:pPr>
            <w:r>
              <w:rPr>
                <w:rFonts w:ascii="Calibri" w:eastAsia="Calibri" w:hAnsi="Calibri" w:cs="Calibri"/>
                <w:sz w:val="18"/>
                <w:szCs w:val="18"/>
              </w:rPr>
              <w:t xml:space="preserve">Implementatie nieuw leerlingvolgsysteem IEP. </w:t>
            </w:r>
          </w:p>
          <w:p w14:paraId="214D153F" w14:textId="77777777" w:rsidR="00AB7A82" w:rsidRDefault="00000000">
            <w:pPr>
              <w:widowControl w:val="0"/>
              <w:numPr>
                <w:ilvl w:val="0"/>
                <w:numId w:val="3"/>
              </w:numPr>
              <w:spacing w:line="240" w:lineRule="auto"/>
              <w:rPr>
                <w:rFonts w:ascii="Calibri" w:eastAsia="Calibri" w:hAnsi="Calibri" w:cs="Calibri"/>
                <w:sz w:val="18"/>
                <w:szCs w:val="18"/>
              </w:rPr>
            </w:pPr>
            <w:r>
              <w:rPr>
                <w:rFonts w:ascii="Calibri" w:eastAsia="Calibri" w:hAnsi="Calibri" w:cs="Calibri"/>
                <w:sz w:val="18"/>
                <w:szCs w:val="18"/>
              </w:rPr>
              <w:t xml:space="preserve">Implementatie nieuwe OPP in Parnassys. </w:t>
            </w:r>
          </w:p>
          <w:p w14:paraId="2534CBBC" w14:textId="77777777" w:rsidR="00AB7A82" w:rsidRDefault="00000000">
            <w:pPr>
              <w:widowControl w:val="0"/>
              <w:numPr>
                <w:ilvl w:val="0"/>
                <w:numId w:val="3"/>
              </w:numPr>
              <w:spacing w:line="240" w:lineRule="auto"/>
              <w:rPr>
                <w:rFonts w:ascii="Calibri" w:eastAsia="Calibri" w:hAnsi="Calibri" w:cs="Calibri"/>
                <w:sz w:val="18"/>
                <w:szCs w:val="18"/>
              </w:rPr>
            </w:pPr>
            <w:r>
              <w:rPr>
                <w:rFonts w:ascii="Calibri" w:eastAsia="Calibri" w:hAnsi="Calibri" w:cs="Calibri"/>
                <w:sz w:val="18"/>
                <w:szCs w:val="18"/>
              </w:rPr>
              <w:t xml:space="preserve">Visie op het Jonge Kind. Starten met stichtingsbrede visieontwikkeling, daarna uitzetten naar de scholen. </w:t>
            </w:r>
          </w:p>
          <w:p w14:paraId="7578A776" w14:textId="77777777" w:rsidR="00AB7A82" w:rsidRDefault="00000000">
            <w:pPr>
              <w:widowControl w:val="0"/>
              <w:numPr>
                <w:ilvl w:val="0"/>
                <w:numId w:val="3"/>
              </w:numPr>
              <w:spacing w:line="240" w:lineRule="auto"/>
              <w:rPr>
                <w:rFonts w:ascii="Calibri" w:eastAsia="Calibri" w:hAnsi="Calibri" w:cs="Calibri"/>
                <w:sz w:val="18"/>
                <w:szCs w:val="18"/>
              </w:rPr>
            </w:pPr>
            <w:r>
              <w:rPr>
                <w:rFonts w:ascii="Calibri" w:eastAsia="Calibri" w:hAnsi="Calibri" w:cs="Calibri"/>
                <w:sz w:val="18"/>
                <w:szCs w:val="18"/>
              </w:rPr>
              <w:t xml:space="preserve">Het verkennen van een lesmethode voor de kleuterbouw. </w:t>
            </w:r>
          </w:p>
        </w:tc>
        <w:tc>
          <w:tcPr>
            <w:tcW w:w="6977" w:type="dxa"/>
            <w:shd w:val="clear" w:color="auto" w:fill="auto"/>
            <w:tcMar>
              <w:top w:w="100" w:type="dxa"/>
              <w:left w:w="100" w:type="dxa"/>
              <w:bottom w:w="100" w:type="dxa"/>
              <w:right w:w="100" w:type="dxa"/>
            </w:tcMar>
          </w:tcPr>
          <w:p w14:paraId="30BD549A" w14:textId="77777777" w:rsidR="00AB7A82" w:rsidRDefault="00AB7A82">
            <w:pPr>
              <w:widowControl w:val="0"/>
              <w:numPr>
                <w:ilvl w:val="0"/>
                <w:numId w:val="3"/>
              </w:numPr>
              <w:pBdr>
                <w:top w:val="nil"/>
                <w:left w:val="nil"/>
                <w:bottom w:val="nil"/>
                <w:right w:val="nil"/>
                <w:between w:val="nil"/>
              </w:pBdr>
              <w:spacing w:line="240" w:lineRule="auto"/>
              <w:rPr>
                <w:rFonts w:ascii="Calibri" w:eastAsia="Calibri" w:hAnsi="Calibri" w:cs="Calibri"/>
                <w:sz w:val="18"/>
                <w:szCs w:val="18"/>
              </w:rPr>
            </w:pPr>
          </w:p>
        </w:tc>
      </w:tr>
    </w:tbl>
    <w:p w14:paraId="01595CFE" w14:textId="77777777" w:rsidR="00AB7A82" w:rsidRDefault="00AB7A82"/>
    <w:p w14:paraId="742296B1" w14:textId="77777777" w:rsidR="002C3B5D" w:rsidRDefault="002C3B5D"/>
    <w:p w14:paraId="76D88AF5" w14:textId="77777777" w:rsidR="002C3B5D" w:rsidRDefault="002C3B5D"/>
    <w:p w14:paraId="7F18304F" w14:textId="77777777" w:rsidR="002C3B5D" w:rsidRDefault="002C3B5D"/>
    <w:p w14:paraId="1A83455B" w14:textId="77777777" w:rsidR="002C3B5D" w:rsidRDefault="002C3B5D"/>
    <w:p w14:paraId="12536620" w14:textId="77777777" w:rsidR="002C3B5D" w:rsidRDefault="002C3B5D"/>
    <w:p w14:paraId="1B4536A4" w14:textId="77777777" w:rsidR="002C3B5D" w:rsidRDefault="002C3B5D"/>
    <w:p w14:paraId="5119050D" w14:textId="77777777" w:rsidR="002C3B5D" w:rsidRDefault="002C3B5D"/>
    <w:p w14:paraId="05482AA6" w14:textId="77777777" w:rsidR="002C3B5D" w:rsidRDefault="002C3B5D"/>
    <w:p w14:paraId="4D2BD864" w14:textId="77777777" w:rsidR="002C3B5D" w:rsidRDefault="002C3B5D"/>
    <w:p w14:paraId="32EA0407" w14:textId="77777777" w:rsidR="002C3B5D" w:rsidRDefault="002C3B5D"/>
    <w:p w14:paraId="3970599C" w14:textId="77777777" w:rsidR="002C3B5D" w:rsidRDefault="002C3B5D"/>
    <w:p w14:paraId="4B433594" w14:textId="77777777" w:rsidR="002C3B5D" w:rsidRDefault="002C3B5D"/>
    <w:p w14:paraId="470CABCC" w14:textId="77777777" w:rsidR="002C3B5D" w:rsidRDefault="002C3B5D" w:rsidP="002C3B5D">
      <w:pPr>
        <w:pStyle w:val="Titel"/>
        <w:ind w:firstLine="111"/>
        <w:rPr>
          <w:b/>
          <w:sz w:val="18"/>
          <w:szCs w:val="18"/>
        </w:rPr>
      </w:pPr>
      <w:r>
        <w:rPr>
          <w:b/>
          <w:sz w:val="18"/>
          <w:szCs w:val="18"/>
        </w:rPr>
        <w:t xml:space="preserve">Basisondersteuning en zorgroute IBS Tarieq Ibnoe Ziyad </w:t>
      </w:r>
    </w:p>
    <w:tbl>
      <w:tblPr>
        <w:tblW w:w="147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2670"/>
        <w:gridCol w:w="2880"/>
        <w:gridCol w:w="3015"/>
        <w:gridCol w:w="2205"/>
        <w:gridCol w:w="1695"/>
      </w:tblGrid>
      <w:tr w:rsidR="002C3B5D" w14:paraId="7E40FD42" w14:textId="77777777" w:rsidTr="00FC4FDD">
        <w:trPr>
          <w:trHeight w:val="441"/>
        </w:trPr>
        <w:tc>
          <w:tcPr>
            <w:tcW w:w="2265" w:type="dxa"/>
          </w:tcPr>
          <w:p w14:paraId="4C27833B" w14:textId="77777777" w:rsidR="002C3B5D" w:rsidRDefault="002C3B5D" w:rsidP="00FC4FDD">
            <w:pPr>
              <w:pBdr>
                <w:top w:val="nil"/>
                <w:left w:val="nil"/>
                <w:bottom w:val="nil"/>
                <w:right w:val="nil"/>
                <w:between w:val="nil"/>
              </w:pBdr>
              <w:rPr>
                <w:color w:val="000000"/>
                <w:sz w:val="18"/>
                <w:szCs w:val="18"/>
              </w:rPr>
            </w:pPr>
          </w:p>
        </w:tc>
        <w:tc>
          <w:tcPr>
            <w:tcW w:w="2670" w:type="dxa"/>
          </w:tcPr>
          <w:p w14:paraId="22E24B46"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Leerling</w:t>
            </w:r>
          </w:p>
        </w:tc>
        <w:tc>
          <w:tcPr>
            <w:tcW w:w="2880" w:type="dxa"/>
          </w:tcPr>
          <w:p w14:paraId="5E6E71ED"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Leerkracht</w:t>
            </w:r>
          </w:p>
        </w:tc>
        <w:tc>
          <w:tcPr>
            <w:tcW w:w="3015" w:type="dxa"/>
          </w:tcPr>
          <w:p w14:paraId="4E158576"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Interne begeleider en/of</w:t>
            </w:r>
          </w:p>
          <w:p w14:paraId="2AADDD14" w14:textId="77777777" w:rsidR="002C3B5D" w:rsidRDefault="002C3B5D" w:rsidP="00FC4FDD">
            <w:pPr>
              <w:pBdr>
                <w:top w:val="nil"/>
                <w:left w:val="nil"/>
                <w:bottom w:val="nil"/>
                <w:right w:val="nil"/>
                <w:between w:val="nil"/>
              </w:pBdr>
              <w:spacing w:before="14" w:line="197" w:lineRule="auto"/>
              <w:ind w:left="110"/>
              <w:rPr>
                <w:b/>
                <w:color w:val="000000"/>
                <w:sz w:val="18"/>
                <w:szCs w:val="18"/>
              </w:rPr>
            </w:pPr>
            <w:r>
              <w:rPr>
                <w:b/>
                <w:color w:val="000000"/>
                <w:sz w:val="18"/>
                <w:szCs w:val="18"/>
              </w:rPr>
              <w:t>specialist</w:t>
            </w:r>
          </w:p>
        </w:tc>
        <w:tc>
          <w:tcPr>
            <w:tcW w:w="2205" w:type="dxa"/>
          </w:tcPr>
          <w:p w14:paraId="6B07209B"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Ouders</w:t>
            </w:r>
          </w:p>
        </w:tc>
        <w:tc>
          <w:tcPr>
            <w:tcW w:w="1695" w:type="dxa"/>
          </w:tcPr>
          <w:p w14:paraId="0B7ABA12" w14:textId="77777777" w:rsidR="002C3B5D" w:rsidRDefault="002C3B5D" w:rsidP="00FC4FDD">
            <w:pPr>
              <w:pBdr>
                <w:top w:val="nil"/>
                <w:left w:val="nil"/>
                <w:bottom w:val="nil"/>
                <w:right w:val="nil"/>
                <w:between w:val="nil"/>
              </w:pBdr>
              <w:spacing w:before="3"/>
              <w:ind w:left="109"/>
              <w:rPr>
                <w:b/>
                <w:color w:val="000000"/>
                <w:sz w:val="18"/>
                <w:szCs w:val="18"/>
              </w:rPr>
            </w:pPr>
            <w:r>
              <w:rPr>
                <w:b/>
                <w:color w:val="000000"/>
                <w:sz w:val="18"/>
                <w:szCs w:val="18"/>
              </w:rPr>
              <w:t>Plan van aanpak</w:t>
            </w:r>
          </w:p>
        </w:tc>
      </w:tr>
      <w:tr w:rsidR="002C3B5D" w14:paraId="445FB7FC" w14:textId="77777777" w:rsidTr="00FC4FDD">
        <w:trPr>
          <w:trHeight w:val="876"/>
        </w:trPr>
        <w:tc>
          <w:tcPr>
            <w:tcW w:w="2265" w:type="dxa"/>
            <w:shd w:val="clear" w:color="auto" w:fill="92D050"/>
          </w:tcPr>
          <w:p w14:paraId="1E40BA13"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Ondersteuningsniveau 1</w:t>
            </w:r>
          </w:p>
        </w:tc>
        <w:tc>
          <w:tcPr>
            <w:tcW w:w="2670" w:type="dxa"/>
            <w:shd w:val="clear" w:color="auto" w:fill="92D050"/>
          </w:tcPr>
          <w:p w14:paraId="342F305D" w14:textId="77777777" w:rsidR="002C3B5D" w:rsidRDefault="002C3B5D" w:rsidP="00FC4FDD">
            <w:pPr>
              <w:pBdr>
                <w:top w:val="nil"/>
                <w:left w:val="nil"/>
                <w:bottom w:val="nil"/>
                <w:right w:val="nil"/>
                <w:between w:val="nil"/>
              </w:pBdr>
              <w:spacing w:before="3" w:line="254" w:lineRule="auto"/>
              <w:ind w:left="110" w:right="131"/>
              <w:rPr>
                <w:color w:val="000000"/>
                <w:sz w:val="18"/>
                <w:szCs w:val="18"/>
              </w:rPr>
            </w:pPr>
            <w:r>
              <w:rPr>
                <w:color w:val="000000"/>
                <w:sz w:val="18"/>
                <w:szCs w:val="18"/>
              </w:rPr>
              <w:t>Leerlingen die functioneren in de groep en zich naar verwachting</w:t>
            </w:r>
          </w:p>
          <w:p w14:paraId="115F21E0" w14:textId="77777777" w:rsidR="002C3B5D" w:rsidRDefault="002C3B5D" w:rsidP="00FC4FDD">
            <w:pPr>
              <w:pBdr>
                <w:top w:val="nil"/>
                <w:left w:val="nil"/>
                <w:bottom w:val="nil"/>
                <w:right w:val="nil"/>
                <w:between w:val="nil"/>
              </w:pBdr>
              <w:spacing w:line="206" w:lineRule="auto"/>
              <w:ind w:left="110"/>
              <w:rPr>
                <w:color w:val="000000"/>
                <w:sz w:val="18"/>
                <w:szCs w:val="18"/>
              </w:rPr>
            </w:pPr>
            <w:r>
              <w:rPr>
                <w:color w:val="000000"/>
                <w:sz w:val="18"/>
                <w:szCs w:val="18"/>
              </w:rPr>
              <w:t>ontwikkelen.</w:t>
            </w:r>
          </w:p>
        </w:tc>
        <w:tc>
          <w:tcPr>
            <w:tcW w:w="2880" w:type="dxa"/>
            <w:shd w:val="clear" w:color="auto" w:fill="92D050"/>
          </w:tcPr>
          <w:p w14:paraId="09A349CC" w14:textId="77777777" w:rsidR="002C3B5D" w:rsidRDefault="002C3B5D" w:rsidP="00FC4FDD">
            <w:pPr>
              <w:pBdr>
                <w:top w:val="nil"/>
                <w:left w:val="nil"/>
                <w:bottom w:val="nil"/>
                <w:right w:val="nil"/>
                <w:between w:val="nil"/>
              </w:pBdr>
              <w:spacing w:before="3" w:line="254" w:lineRule="auto"/>
              <w:ind w:left="110" w:right="281"/>
              <w:rPr>
                <w:color w:val="000000"/>
                <w:sz w:val="18"/>
                <w:szCs w:val="18"/>
              </w:rPr>
            </w:pPr>
            <w:r>
              <w:rPr>
                <w:color w:val="000000"/>
                <w:sz w:val="18"/>
                <w:szCs w:val="18"/>
              </w:rPr>
              <w:t>Observeert, signaleert en werkt handelingsgericht. Na analyse speelt de leerkracht in op de verschillende onderwijsbehoeften binnen de groep.</w:t>
            </w:r>
          </w:p>
        </w:tc>
        <w:tc>
          <w:tcPr>
            <w:tcW w:w="3015" w:type="dxa"/>
            <w:shd w:val="clear" w:color="auto" w:fill="92D050"/>
          </w:tcPr>
          <w:p w14:paraId="5852CC28" w14:textId="77777777" w:rsidR="002C3B5D" w:rsidRDefault="002C3B5D" w:rsidP="00FC4FDD">
            <w:pPr>
              <w:pBdr>
                <w:top w:val="nil"/>
                <w:left w:val="nil"/>
                <w:bottom w:val="nil"/>
                <w:right w:val="nil"/>
                <w:between w:val="nil"/>
              </w:pBdr>
              <w:spacing w:before="3" w:line="249" w:lineRule="auto"/>
              <w:ind w:left="110"/>
              <w:rPr>
                <w:color w:val="000000"/>
                <w:sz w:val="18"/>
                <w:szCs w:val="18"/>
              </w:rPr>
            </w:pPr>
            <w:r>
              <w:rPr>
                <w:color w:val="000000"/>
                <w:sz w:val="18"/>
                <w:szCs w:val="18"/>
              </w:rPr>
              <w:t>Groepsbespreking alle leerlingen.</w:t>
            </w:r>
          </w:p>
        </w:tc>
        <w:tc>
          <w:tcPr>
            <w:tcW w:w="2205" w:type="dxa"/>
            <w:shd w:val="clear" w:color="auto" w:fill="92D050"/>
          </w:tcPr>
          <w:p w14:paraId="7B6F0B72" w14:textId="77777777" w:rsidR="002C3B5D" w:rsidRDefault="002C3B5D" w:rsidP="00FC4FDD">
            <w:pPr>
              <w:pBdr>
                <w:top w:val="nil"/>
                <w:left w:val="nil"/>
                <w:bottom w:val="nil"/>
                <w:right w:val="nil"/>
                <w:between w:val="nil"/>
              </w:pBdr>
              <w:spacing w:before="3" w:line="254" w:lineRule="auto"/>
              <w:ind w:left="110" w:right="716"/>
              <w:rPr>
                <w:color w:val="000000"/>
                <w:sz w:val="18"/>
                <w:szCs w:val="18"/>
              </w:rPr>
            </w:pPr>
            <w:r>
              <w:rPr>
                <w:color w:val="000000"/>
                <w:sz w:val="18"/>
                <w:szCs w:val="18"/>
              </w:rPr>
              <w:t xml:space="preserve">Er is regelmatig contact met ouders </w:t>
            </w:r>
          </w:p>
          <w:p w14:paraId="6E170A59" w14:textId="77777777" w:rsidR="002C3B5D" w:rsidRDefault="002C3B5D" w:rsidP="00FC4FDD">
            <w:pPr>
              <w:pBdr>
                <w:top w:val="nil"/>
                <w:left w:val="nil"/>
                <w:bottom w:val="nil"/>
                <w:right w:val="nil"/>
                <w:between w:val="nil"/>
              </w:pBdr>
              <w:spacing w:before="1" w:line="197" w:lineRule="auto"/>
              <w:ind w:left="110"/>
              <w:rPr>
                <w:color w:val="000000"/>
                <w:sz w:val="18"/>
                <w:szCs w:val="18"/>
              </w:rPr>
            </w:pPr>
          </w:p>
        </w:tc>
        <w:tc>
          <w:tcPr>
            <w:tcW w:w="1695" w:type="dxa"/>
            <w:shd w:val="clear" w:color="auto" w:fill="92D050"/>
          </w:tcPr>
          <w:p w14:paraId="04F4F4CB" w14:textId="77777777" w:rsidR="002C3B5D" w:rsidRDefault="002C3B5D" w:rsidP="00FC4FDD">
            <w:pPr>
              <w:pBdr>
                <w:top w:val="nil"/>
                <w:left w:val="nil"/>
                <w:bottom w:val="nil"/>
                <w:right w:val="nil"/>
                <w:between w:val="nil"/>
              </w:pBdr>
              <w:spacing w:before="3" w:line="254" w:lineRule="auto"/>
              <w:ind w:left="109" w:right="350"/>
              <w:rPr>
                <w:color w:val="000000"/>
                <w:sz w:val="18"/>
                <w:szCs w:val="18"/>
              </w:rPr>
            </w:pPr>
            <w:r>
              <w:rPr>
                <w:color w:val="000000"/>
                <w:sz w:val="18"/>
                <w:szCs w:val="18"/>
              </w:rPr>
              <w:t>Deze kinderen werken binnen de groepsaanpak.</w:t>
            </w:r>
          </w:p>
        </w:tc>
      </w:tr>
      <w:tr w:rsidR="002C3B5D" w14:paraId="7EFB514A" w14:textId="77777777" w:rsidTr="00FC4FDD">
        <w:trPr>
          <w:trHeight w:val="1756"/>
        </w:trPr>
        <w:tc>
          <w:tcPr>
            <w:tcW w:w="2265" w:type="dxa"/>
            <w:shd w:val="clear" w:color="auto" w:fill="FFFF00"/>
          </w:tcPr>
          <w:p w14:paraId="272206C8"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Ondersteuningsniveau 2</w:t>
            </w:r>
          </w:p>
        </w:tc>
        <w:tc>
          <w:tcPr>
            <w:tcW w:w="2670" w:type="dxa"/>
            <w:shd w:val="clear" w:color="auto" w:fill="FFFF00"/>
          </w:tcPr>
          <w:p w14:paraId="5F6ADE07" w14:textId="77777777" w:rsidR="002C3B5D" w:rsidRDefault="002C3B5D" w:rsidP="00FC4FDD">
            <w:pPr>
              <w:pBdr>
                <w:top w:val="nil"/>
                <w:left w:val="nil"/>
                <w:bottom w:val="nil"/>
                <w:right w:val="nil"/>
                <w:between w:val="nil"/>
              </w:pBdr>
              <w:spacing w:before="3" w:line="254" w:lineRule="auto"/>
              <w:ind w:left="110" w:right="112"/>
              <w:rPr>
                <w:color w:val="000000"/>
                <w:sz w:val="18"/>
                <w:szCs w:val="18"/>
              </w:rPr>
            </w:pPr>
            <w:r>
              <w:rPr>
                <w:color w:val="000000"/>
                <w:sz w:val="18"/>
                <w:szCs w:val="18"/>
              </w:rPr>
              <w:t>Leerlingen die opvallen in de groep op één of meerdere gebieden (bijv. op het gebied van gedrag, cognitief,</w:t>
            </w:r>
          </w:p>
          <w:p w14:paraId="21D4954D" w14:textId="77777777" w:rsidR="002C3B5D" w:rsidRDefault="002C3B5D" w:rsidP="00FC4FDD">
            <w:pPr>
              <w:pBdr>
                <w:top w:val="nil"/>
                <w:left w:val="nil"/>
                <w:bottom w:val="nil"/>
                <w:right w:val="nil"/>
                <w:between w:val="nil"/>
              </w:pBdr>
              <w:spacing w:before="1" w:line="256" w:lineRule="auto"/>
              <w:ind w:left="110" w:right="131"/>
              <w:rPr>
                <w:color w:val="000000"/>
                <w:sz w:val="18"/>
                <w:szCs w:val="18"/>
              </w:rPr>
            </w:pPr>
            <w:r>
              <w:rPr>
                <w:color w:val="000000"/>
                <w:sz w:val="18"/>
                <w:szCs w:val="18"/>
              </w:rPr>
              <w:t>sociaal-emotioneel, motorisch). Leerlingen met dezelfde problemen clusteren.</w:t>
            </w:r>
          </w:p>
        </w:tc>
        <w:tc>
          <w:tcPr>
            <w:tcW w:w="2880" w:type="dxa"/>
            <w:shd w:val="clear" w:color="auto" w:fill="FFFF00"/>
          </w:tcPr>
          <w:p w14:paraId="73706DE1" w14:textId="77777777" w:rsidR="002C3B5D" w:rsidRDefault="002C3B5D" w:rsidP="00FC4FDD">
            <w:pPr>
              <w:pBdr>
                <w:top w:val="nil"/>
                <w:left w:val="nil"/>
                <w:bottom w:val="nil"/>
                <w:right w:val="nil"/>
                <w:between w:val="nil"/>
              </w:pBdr>
              <w:spacing w:before="3" w:line="254" w:lineRule="auto"/>
              <w:ind w:left="110"/>
              <w:rPr>
                <w:color w:val="000000"/>
                <w:sz w:val="18"/>
                <w:szCs w:val="18"/>
              </w:rPr>
            </w:pPr>
            <w:r>
              <w:rPr>
                <w:color w:val="000000"/>
                <w:sz w:val="18"/>
                <w:szCs w:val="18"/>
              </w:rPr>
              <w:t>De leerkracht brengt de specifieke onderwijsbehoefte van de leerling in beeld en wat hij/zij nodig heeft</w:t>
            </w:r>
          </w:p>
          <w:p w14:paraId="3B3458CF" w14:textId="77777777" w:rsidR="002C3B5D" w:rsidRDefault="002C3B5D" w:rsidP="00FC4FDD">
            <w:pPr>
              <w:pBdr>
                <w:top w:val="nil"/>
                <w:left w:val="nil"/>
                <w:bottom w:val="nil"/>
                <w:right w:val="nil"/>
                <w:between w:val="nil"/>
              </w:pBdr>
              <w:spacing w:line="254" w:lineRule="auto"/>
              <w:ind w:left="110" w:right="226"/>
              <w:rPr>
                <w:color w:val="000000"/>
                <w:sz w:val="18"/>
                <w:szCs w:val="18"/>
              </w:rPr>
            </w:pPr>
            <w:r>
              <w:rPr>
                <w:color w:val="000000"/>
                <w:sz w:val="18"/>
                <w:szCs w:val="18"/>
              </w:rPr>
              <w:t xml:space="preserve">om te kunnen handelen. Deze leerlingen worden ingedeeld in het groepsplan bij intensieve aanbod. </w:t>
            </w:r>
          </w:p>
        </w:tc>
        <w:tc>
          <w:tcPr>
            <w:tcW w:w="3015" w:type="dxa"/>
            <w:shd w:val="clear" w:color="auto" w:fill="FFFF00"/>
          </w:tcPr>
          <w:p w14:paraId="623FD1A4" w14:textId="77777777" w:rsidR="002C3B5D" w:rsidRDefault="002C3B5D" w:rsidP="00FC4FDD">
            <w:pPr>
              <w:pBdr>
                <w:top w:val="nil"/>
                <w:left w:val="nil"/>
                <w:bottom w:val="nil"/>
                <w:right w:val="nil"/>
                <w:between w:val="nil"/>
              </w:pBdr>
              <w:spacing w:before="3" w:line="249" w:lineRule="auto"/>
              <w:ind w:left="110" w:right="634"/>
              <w:rPr>
                <w:color w:val="000000"/>
                <w:sz w:val="18"/>
                <w:szCs w:val="18"/>
              </w:rPr>
            </w:pPr>
            <w:r>
              <w:rPr>
                <w:color w:val="000000"/>
                <w:sz w:val="18"/>
                <w:szCs w:val="18"/>
              </w:rPr>
              <w:t>De intern begeleider wordt betrokken op</w:t>
            </w:r>
          </w:p>
          <w:p w14:paraId="455A759E" w14:textId="77777777" w:rsidR="002C3B5D" w:rsidRDefault="002C3B5D" w:rsidP="00FC4FDD">
            <w:pPr>
              <w:pBdr>
                <w:top w:val="nil"/>
                <w:left w:val="nil"/>
                <w:bottom w:val="nil"/>
                <w:right w:val="nil"/>
                <w:between w:val="nil"/>
              </w:pBdr>
              <w:spacing w:before="7" w:line="256" w:lineRule="auto"/>
              <w:ind w:left="110"/>
              <w:rPr>
                <w:color w:val="000000"/>
                <w:sz w:val="18"/>
                <w:szCs w:val="18"/>
              </w:rPr>
            </w:pPr>
            <w:r>
              <w:rPr>
                <w:color w:val="000000"/>
                <w:sz w:val="18"/>
                <w:szCs w:val="18"/>
              </w:rPr>
              <w:t xml:space="preserve">leerling niveau. Er volgt een leerlingbespreking. Na onvoldoende vooruitgang bij evaluatie wordt gedragswetenschapper betrokken. </w:t>
            </w:r>
          </w:p>
        </w:tc>
        <w:tc>
          <w:tcPr>
            <w:tcW w:w="2205" w:type="dxa"/>
            <w:shd w:val="clear" w:color="auto" w:fill="FFFF00"/>
          </w:tcPr>
          <w:p w14:paraId="3A5EFD99" w14:textId="77777777" w:rsidR="002C3B5D" w:rsidRDefault="002C3B5D" w:rsidP="00FC4FDD">
            <w:pPr>
              <w:pBdr>
                <w:top w:val="nil"/>
                <w:left w:val="nil"/>
                <w:bottom w:val="nil"/>
                <w:right w:val="nil"/>
                <w:between w:val="nil"/>
              </w:pBdr>
              <w:spacing w:before="3" w:line="254" w:lineRule="auto"/>
              <w:ind w:left="110" w:right="579"/>
              <w:rPr>
                <w:color w:val="000000"/>
                <w:sz w:val="18"/>
                <w:szCs w:val="18"/>
              </w:rPr>
            </w:pPr>
            <w:r>
              <w:rPr>
                <w:color w:val="000000"/>
                <w:sz w:val="18"/>
                <w:szCs w:val="18"/>
              </w:rPr>
              <w:t>Leerkracht gaat in gesprek met ouders over de ontwikkeling van hun kind.</w:t>
            </w:r>
          </w:p>
        </w:tc>
        <w:tc>
          <w:tcPr>
            <w:tcW w:w="1695" w:type="dxa"/>
            <w:shd w:val="clear" w:color="auto" w:fill="FFFF00"/>
          </w:tcPr>
          <w:p w14:paraId="6933B032" w14:textId="77777777" w:rsidR="002C3B5D" w:rsidRDefault="002C3B5D" w:rsidP="00FC4FDD">
            <w:pPr>
              <w:pBdr>
                <w:top w:val="nil"/>
                <w:left w:val="nil"/>
                <w:bottom w:val="nil"/>
                <w:right w:val="nil"/>
                <w:between w:val="nil"/>
              </w:pBdr>
              <w:spacing w:before="3" w:line="254" w:lineRule="auto"/>
              <w:ind w:left="109"/>
              <w:rPr>
                <w:color w:val="000000"/>
                <w:sz w:val="18"/>
                <w:szCs w:val="18"/>
              </w:rPr>
            </w:pPr>
            <w:r>
              <w:rPr>
                <w:color w:val="000000"/>
                <w:sz w:val="18"/>
                <w:szCs w:val="18"/>
              </w:rPr>
              <w:t xml:space="preserve">Deze kinderen werken binnen het groepsplan intensief aanbod. </w:t>
            </w:r>
          </w:p>
        </w:tc>
      </w:tr>
      <w:tr w:rsidR="002C3B5D" w14:paraId="11D3201E" w14:textId="77777777" w:rsidTr="00FC4FDD">
        <w:trPr>
          <w:trHeight w:val="2197"/>
        </w:trPr>
        <w:tc>
          <w:tcPr>
            <w:tcW w:w="2265" w:type="dxa"/>
            <w:shd w:val="clear" w:color="auto" w:fill="FFC000"/>
          </w:tcPr>
          <w:p w14:paraId="0A6A9001"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t>Ondersteuningsniveau 3</w:t>
            </w:r>
          </w:p>
        </w:tc>
        <w:tc>
          <w:tcPr>
            <w:tcW w:w="2670" w:type="dxa"/>
            <w:shd w:val="clear" w:color="auto" w:fill="FFC000"/>
          </w:tcPr>
          <w:p w14:paraId="35231D1A" w14:textId="77777777" w:rsidR="002C3B5D" w:rsidRDefault="002C3B5D" w:rsidP="00FC4FDD">
            <w:pPr>
              <w:pBdr>
                <w:top w:val="nil"/>
                <w:left w:val="nil"/>
                <w:bottom w:val="nil"/>
                <w:right w:val="nil"/>
                <w:between w:val="nil"/>
              </w:pBdr>
              <w:spacing w:before="3" w:line="254" w:lineRule="auto"/>
              <w:ind w:left="110" w:right="131"/>
              <w:rPr>
                <w:color w:val="000000"/>
                <w:sz w:val="18"/>
                <w:szCs w:val="18"/>
              </w:rPr>
            </w:pPr>
            <w:r>
              <w:rPr>
                <w:color w:val="000000"/>
                <w:sz w:val="18"/>
                <w:szCs w:val="18"/>
              </w:rPr>
              <w:t>Leerlingen met specifieke onderwijsbehoefte (bijv. op het gebied van gedrag, cognitief, sociaal- emotioneel, motorisch). Leerlingen met dezelfde problemen clusteren.</w:t>
            </w:r>
          </w:p>
        </w:tc>
        <w:tc>
          <w:tcPr>
            <w:tcW w:w="2880" w:type="dxa"/>
            <w:shd w:val="clear" w:color="auto" w:fill="FFC000"/>
          </w:tcPr>
          <w:p w14:paraId="1F2044C4" w14:textId="77777777" w:rsidR="002C3B5D" w:rsidRDefault="002C3B5D" w:rsidP="00FC4FDD">
            <w:pPr>
              <w:pBdr>
                <w:top w:val="nil"/>
                <w:left w:val="nil"/>
                <w:bottom w:val="nil"/>
                <w:right w:val="nil"/>
                <w:between w:val="nil"/>
              </w:pBdr>
              <w:spacing w:before="3" w:line="254" w:lineRule="auto"/>
              <w:ind w:left="110"/>
              <w:rPr>
                <w:color w:val="000000"/>
                <w:sz w:val="18"/>
                <w:szCs w:val="18"/>
              </w:rPr>
            </w:pPr>
            <w:r>
              <w:rPr>
                <w:color w:val="000000"/>
                <w:sz w:val="18"/>
                <w:szCs w:val="18"/>
              </w:rPr>
              <w:t>Er vindt schooldiagnostisch onderzoek plaats (bijv. vooruit toetsen, terugtoetsen, observatie).</w:t>
            </w:r>
          </w:p>
          <w:p w14:paraId="33FAD045" w14:textId="77777777" w:rsidR="002C3B5D" w:rsidRDefault="002C3B5D" w:rsidP="00FC4FDD">
            <w:pPr>
              <w:pBdr>
                <w:top w:val="nil"/>
                <w:left w:val="nil"/>
                <w:bottom w:val="nil"/>
                <w:right w:val="nil"/>
                <w:between w:val="nil"/>
              </w:pBdr>
              <w:spacing w:line="254" w:lineRule="auto"/>
              <w:ind w:left="110"/>
              <w:rPr>
                <w:color w:val="000000"/>
                <w:sz w:val="18"/>
                <w:szCs w:val="18"/>
              </w:rPr>
            </w:pPr>
            <w:r>
              <w:rPr>
                <w:color w:val="000000"/>
                <w:sz w:val="18"/>
                <w:szCs w:val="18"/>
              </w:rPr>
              <w:t>Er wordt handelingsgericht gewerkt binnen en buiten de groep (maar binnen de school). Er volgt een IPVA. Er wordt 1-op-1 geoefend met de leerling.</w:t>
            </w:r>
          </w:p>
        </w:tc>
        <w:tc>
          <w:tcPr>
            <w:tcW w:w="3015" w:type="dxa"/>
            <w:shd w:val="clear" w:color="auto" w:fill="FFC000"/>
          </w:tcPr>
          <w:p w14:paraId="3814C254" w14:textId="77777777" w:rsidR="002C3B5D" w:rsidRDefault="002C3B5D" w:rsidP="00FC4FDD">
            <w:pPr>
              <w:pBdr>
                <w:top w:val="nil"/>
                <w:left w:val="nil"/>
                <w:bottom w:val="nil"/>
                <w:right w:val="nil"/>
                <w:between w:val="nil"/>
              </w:pBdr>
              <w:spacing w:before="3" w:line="254" w:lineRule="auto"/>
              <w:ind w:left="110" w:right="154"/>
              <w:rPr>
                <w:color w:val="000000"/>
                <w:sz w:val="18"/>
                <w:szCs w:val="18"/>
              </w:rPr>
            </w:pPr>
            <w:r>
              <w:rPr>
                <w:color w:val="000000"/>
                <w:sz w:val="18"/>
                <w:szCs w:val="18"/>
              </w:rPr>
              <w:t>De gedragswetenschapper wordt betrokken. De interne begeleider, pedagoog, gedragswetenschapper of een interne specialist is betrokken bij het schooldiagnostisch onderzoek of voert dit zelf uit. Hierbij kunnen consultatief externen worden betrokken. De IB-er kijkt welke lichte leermiddelen ingeschakeld</w:t>
            </w:r>
          </w:p>
          <w:p w14:paraId="0F6FF380" w14:textId="77777777" w:rsidR="002C3B5D" w:rsidRDefault="002C3B5D" w:rsidP="00FC4FDD">
            <w:pPr>
              <w:pBdr>
                <w:top w:val="nil"/>
                <w:left w:val="nil"/>
                <w:bottom w:val="nil"/>
                <w:right w:val="nil"/>
                <w:between w:val="nil"/>
              </w:pBdr>
              <w:spacing w:line="195" w:lineRule="auto"/>
              <w:ind w:left="110"/>
              <w:rPr>
                <w:color w:val="000000"/>
                <w:sz w:val="18"/>
                <w:szCs w:val="18"/>
              </w:rPr>
            </w:pPr>
            <w:r>
              <w:rPr>
                <w:color w:val="000000"/>
                <w:sz w:val="18"/>
                <w:szCs w:val="18"/>
              </w:rPr>
              <w:t>moeten worden.</w:t>
            </w:r>
          </w:p>
        </w:tc>
        <w:tc>
          <w:tcPr>
            <w:tcW w:w="2205" w:type="dxa"/>
            <w:shd w:val="clear" w:color="auto" w:fill="FFC000"/>
          </w:tcPr>
          <w:p w14:paraId="54DD26F4" w14:textId="77777777" w:rsidR="002C3B5D" w:rsidRDefault="002C3B5D" w:rsidP="00FC4FDD">
            <w:pPr>
              <w:pBdr>
                <w:top w:val="nil"/>
                <w:left w:val="nil"/>
                <w:bottom w:val="nil"/>
                <w:right w:val="nil"/>
                <w:between w:val="nil"/>
              </w:pBdr>
              <w:spacing w:before="3" w:line="254" w:lineRule="auto"/>
              <w:ind w:left="110" w:right="579"/>
              <w:rPr>
                <w:color w:val="000000"/>
                <w:sz w:val="18"/>
                <w:szCs w:val="18"/>
              </w:rPr>
            </w:pPr>
            <w:r>
              <w:rPr>
                <w:color w:val="000000"/>
                <w:sz w:val="18"/>
                <w:szCs w:val="18"/>
              </w:rPr>
              <w:t>Leerkracht en intern begeleider (of een interne specialist of indien nodig de gedragswetenschapper)gaan in gesprek met  ouders over de ontwikkeling van hun kind.</w:t>
            </w:r>
          </w:p>
        </w:tc>
        <w:tc>
          <w:tcPr>
            <w:tcW w:w="1695" w:type="dxa"/>
            <w:shd w:val="clear" w:color="auto" w:fill="FFC000"/>
          </w:tcPr>
          <w:p w14:paraId="432C33FC" w14:textId="77777777" w:rsidR="002C3B5D" w:rsidRDefault="002C3B5D" w:rsidP="00FC4FDD">
            <w:pPr>
              <w:pBdr>
                <w:top w:val="nil"/>
                <w:left w:val="nil"/>
                <w:bottom w:val="nil"/>
                <w:right w:val="nil"/>
                <w:between w:val="nil"/>
              </w:pBdr>
              <w:spacing w:before="3" w:line="254" w:lineRule="auto"/>
              <w:ind w:left="109" w:right="117"/>
              <w:rPr>
                <w:color w:val="000000"/>
                <w:sz w:val="18"/>
                <w:szCs w:val="18"/>
              </w:rPr>
            </w:pPr>
            <w:r>
              <w:rPr>
                <w:color w:val="000000"/>
                <w:sz w:val="18"/>
                <w:szCs w:val="18"/>
              </w:rPr>
              <w:t xml:space="preserve">Deze kinderen werken met IPVA. </w:t>
            </w:r>
          </w:p>
        </w:tc>
      </w:tr>
      <w:tr w:rsidR="002C3B5D" w14:paraId="296259EB" w14:textId="77777777" w:rsidTr="00FC4FDD">
        <w:trPr>
          <w:trHeight w:val="2634"/>
        </w:trPr>
        <w:tc>
          <w:tcPr>
            <w:tcW w:w="2265" w:type="dxa"/>
            <w:shd w:val="clear" w:color="auto" w:fill="FF0000"/>
          </w:tcPr>
          <w:p w14:paraId="6B83E302" w14:textId="77777777" w:rsidR="002C3B5D" w:rsidRDefault="002C3B5D" w:rsidP="00FC4FDD">
            <w:pPr>
              <w:pBdr>
                <w:top w:val="nil"/>
                <w:left w:val="nil"/>
                <w:bottom w:val="nil"/>
                <w:right w:val="nil"/>
                <w:between w:val="nil"/>
              </w:pBdr>
              <w:spacing w:before="3"/>
              <w:ind w:left="110"/>
              <w:rPr>
                <w:b/>
                <w:color w:val="000000"/>
                <w:sz w:val="18"/>
                <w:szCs w:val="18"/>
              </w:rPr>
            </w:pPr>
            <w:r>
              <w:rPr>
                <w:b/>
                <w:color w:val="000000"/>
                <w:sz w:val="18"/>
                <w:szCs w:val="18"/>
              </w:rPr>
              <w:lastRenderedPageBreak/>
              <w:t>Ondersteuningsniveau 4</w:t>
            </w:r>
          </w:p>
        </w:tc>
        <w:tc>
          <w:tcPr>
            <w:tcW w:w="2670" w:type="dxa"/>
            <w:shd w:val="clear" w:color="auto" w:fill="FF0000"/>
          </w:tcPr>
          <w:p w14:paraId="3DA8A1D6" w14:textId="77777777" w:rsidR="002C3B5D" w:rsidRDefault="002C3B5D" w:rsidP="00FC4FDD">
            <w:pPr>
              <w:pBdr>
                <w:top w:val="nil"/>
                <w:left w:val="nil"/>
                <w:bottom w:val="nil"/>
                <w:right w:val="nil"/>
                <w:between w:val="nil"/>
              </w:pBdr>
              <w:spacing w:before="3" w:line="254" w:lineRule="auto"/>
              <w:ind w:left="110" w:right="382"/>
              <w:rPr>
                <w:color w:val="000000"/>
                <w:sz w:val="18"/>
                <w:szCs w:val="18"/>
              </w:rPr>
            </w:pPr>
            <w:r>
              <w:rPr>
                <w:color w:val="000000"/>
                <w:sz w:val="18"/>
                <w:szCs w:val="18"/>
              </w:rPr>
              <w:t>Leerlingen met een specifieke onderwijsbehoefte waar begeleiding vanuit school onvoldoende oplevert. Leerlingen met dezelfde problemen clusteren.</w:t>
            </w:r>
          </w:p>
        </w:tc>
        <w:tc>
          <w:tcPr>
            <w:tcW w:w="2880" w:type="dxa"/>
            <w:shd w:val="clear" w:color="auto" w:fill="FF0000"/>
          </w:tcPr>
          <w:p w14:paraId="09556DFB" w14:textId="77777777" w:rsidR="002C3B5D" w:rsidRDefault="002C3B5D" w:rsidP="00FC4FDD">
            <w:pPr>
              <w:pBdr>
                <w:top w:val="nil"/>
                <w:left w:val="nil"/>
                <w:bottom w:val="nil"/>
                <w:right w:val="nil"/>
                <w:between w:val="nil"/>
              </w:pBdr>
              <w:spacing w:before="3" w:line="254" w:lineRule="auto"/>
              <w:ind w:left="110" w:right="90"/>
              <w:rPr>
                <w:color w:val="000000"/>
                <w:sz w:val="18"/>
                <w:szCs w:val="18"/>
              </w:rPr>
            </w:pPr>
            <w:r>
              <w:rPr>
                <w:color w:val="000000"/>
                <w:sz w:val="18"/>
                <w:szCs w:val="18"/>
              </w:rPr>
              <w:t>Leerkracht geeft aan dat hij/zij niet kan voldoen aan de specifieke onderwijsbehoefte van de leerling. Er wordt handelingsgericht gewerkt binnen en buiten de groep (maar binnen de school). Er volgt een HGPD/OPP. Er wordt 1-op-1 geoefend met de leerling.</w:t>
            </w:r>
          </w:p>
        </w:tc>
        <w:tc>
          <w:tcPr>
            <w:tcW w:w="3015" w:type="dxa"/>
            <w:shd w:val="clear" w:color="auto" w:fill="FF0000"/>
          </w:tcPr>
          <w:p w14:paraId="2D68E47E" w14:textId="77777777" w:rsidR="002C3B5D" w:rsidRDefault="002C3B5D" w:rsidP="00FC4FDD">
            <w:pPr>
              <w:pBdr>
                <w:top w:val="nil"/>
                <w:left w:val="nil"/>
                <w:bottom w:val="nil"/>
                <w:right w:val="nil"/>
                <w:between w:val="nil"/>
              </w:pBdr>
              <w:spacing w:before="3" w:line="254" w:lineRule="auto"/>
              <w:ind w:left="110" w:right="227"/>
              <w:rPr>
                <w:color w:val="000000"/>
                <w:sz w:val="18"/>
                <w:szCs w:val="18"/>
              </w:rPr>
            </w:pPr>
            <w:r>
              <w:rPr>
                <w:color w:val="000000"/>
                <w:sz w:val="18"/>
                <w:szCs w:val="18"/>
              </w:rPr>
              <w:t>De gedragswetenschapper wordt betrokken. De interne begeleider arrangeert SOT indien nodig met educatieve partners en/of zorgpartners in om mee te denken over de onderwijsbehoefte van de leerling (bijv, aanvullend onderzoek, specifieke observatie vanuit een specialisme, etc).</w:t>
            </w:r>
          </w:p>
        </w:tc>
        <w:tc>
          <w:tcPr>
            <w:tcW w:w="2205" w:type="dxa"/>
            <w:shd w:val="clear" w:color="auto" w:fill="FF0000"/>
          </w:tcPr>
          <w:p w14:paraId="2C1272FE" w14:textId="77777777" w:rsidR="002C3B5D" w:rsidRDefault="002C3B5D" w:rsidP="00FC4FDD">
            <w:pPr>
              <w:pBdr>
                <w:top w:val="nil"/>
                <w:left w:val="nil"/>
                <w:bottom w:val="nil"/>
                <w:right w:val="nil"/>
                <w:between w:val="nil"/>
              </w:pBdr>
              <w:spacing w:before="3" w:line="254" w:lineRule="auto"/>
              <w:ind w:left="110" w:right="579"/>
              <w:rPr>
                <w:color w:val="000000"/>
                <w:sz w:val="18"/>
                <w:szCs w:val="18"/>
              </w:rPr>
            </w:pPr>
            <w:r>
              <w:rPr>
                <w:color w:val="000000"/>
                <w:sz w:val="18"/>
                <w:szCs w:val="18"/>
              </w:rPr>
              <w:t>Alle betrokkenen gaan in gesprek met ouders over de ontwikkeling van het  kind.</w:t>
            </w:r>
          </w:p>
          <w:p w14:paraId="5AD23D1C" w14:textId="77777777" w:rsidR="002C3B5D" w:rsidRDefault="002C3B5D" w:rsidP="00FC4FDD">
            <w:pPr>
              <w:pBdr>
                <w:top w:val="nil"/>
                <w:left w:val="nil"/>
                <w:bottom w:val="nil"/>
                <w:right w:val="nil"/>
                <w:between w:val="nil"/>
              </w:pBdr>
              <w:spacing w:line="197" w:lineRule="auto"/>
              <w:ind w:left="110"/>
              <w:rPr>
                <w:color w:val="000000"/>
                <w:sz w:val="18"/>
                <w:szCs w:val="18"/>
              </w:rPr>
            </w:pPr>
          </w:p>
        </w:tc>
        <w:tc>
          <w:tcPr>
            <w:tcW w:w="1695" w:type="dxa"/>
            <w:shd w:val="clear" w:color="auto" w:fill="FF0000"/>
          </w:tcPr>
          <w:p w14:paraId="4E7F35E9" w14:textId="77777777" w:rsidR="002C3B5D" w:rsidRDefault="002C3B5D" w:rsidP="00FC4FDD">
            <w:pPr>
              <w:pBdr>
                <w:top w:val="nil"/>
                <w:left w:val="nil"/>
                <w:bottom w:val="nil"/>
                <w:right w:val="nil"/>
                <w:between w:val="nil"/>
              </w:pBdr>
              <w:spacing w:before="3" w:line="254" w:lineRule="auto"/>
              <w:ind w:left="109" w:right="117"/>
              <w:rPr>
                <w:color w:val="000000"/>
                <w:sz w:val="18"/>
                <w:szCs w:val="18"/>
              </w:rPr>
            </w:pPr>
            <w:r>
              <w:rPr>
                <w:color w:val="000000"/>
                <w:sz w:val="18"/>
                <w:szCs w:val="18"/>
              </w:rPr>
              <w:t xml:space="preserve">Deze kinderen werken met een IPVA of een HGPD/OPP. </w:t>
            </w:r>
          </w:p>
          <w:p w14:paraId="01440437" w14:textId="77777777" w:rsidR="002C3B5D" w:rsidRDefault="002C3B5D" w:rsidP="00FC4FDD">
            <w:pPr>
              <w:pBdr>
                <w:top w:val="nil"/>
                <w:left w:val="nil"/>
                <w:bottom w:val="nil"/>
                <w:right w:val="nil"/>
                <w:between w:val="nil"/>
              </w:pBdr>
              <w:spacing w:line="256" w:lineRule="auto"/>
              <w:ind w:left="109"/>
              <w:rPr>
                <w:color w:val="000000"/>
                <w:sz w:val="18"/>
                <w:szCs w:val="18"/>
              </w:rPr>
            </w:pPr>
          </w:p>
        </w:tc>
      </w:tr>
    </w:tbl>
    <w:p w14:paraId="3D205F18" w14:textId="77777777" w:rsidR="002C3B5D" w:rsidRDefault="002C3B5D" w:rsidP="002C3B5D">
      <w:pPr>
        <w:pBdr>
          <w:top w:val="nil"/>
          <w:left w:val="nil"/>
          <w:bottom w:val="nil"/>
          <w:right w:val="nil"/>
          <w:between w:val="nil"/>
        </w:pBdr>
        <w:spacing w:before="6" w:line="511" w:lineRule="auto"/>
        <w:ind w:left="111" w:right="1442"/>
        <w:rPr>
          <w:color w:val="000000"/>
          <w:sz w:val="18"/>
          <w:szCs w:val="18"/>
        </w:rPr>
      </w:pPr>
      <w:r>
        <w:rPr>
          <w:color w:val="000000"/>
          <w:sz w:val="18"/>
          <w:szCs w:val="18"/>
        </w:rPr>
        <w:t xml:space="preserve">Overstijgen de specifieke onderwijsbehoefte(n) van het kind basisniveau 4, dan kan er in overleg de gedragswetenschapper TLV procedure gestart worden. </w:t>
      </w:r>
    </w:p>
    <w:p w14:paraId="6B8DCB50" w14:textId="77777777" w:rsidR="002C3B5D" w:rsidRDefault="002C3B5D"/>
    <w:sectPr w:rsidR="002C3B5D">
      <w:pgSz w:w="16834" w:h="11909"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642"/>
    <w:multiLevelType w:val="multilevel"/>
    <w:tmpl w:val="9A485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D1E3B"/>
    <w:multiLevelType w:val="multilevel"/>
    <w:tmpl w:val="D940F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442080"/>
    <w:multiLevelType w:val="multilevel"/>
    <w:tmpl w:val="FC18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1393569">
    <w:abstractNumId w:val="2"/>
  </w:num>
  <w:num w:numId="2" w16cid:durableId="62143843">
    <w:abstractNumId w:val="0"/>
  </w:num>
  <w:num w:numId="3" w16cid:durableId="115383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82"/>
    <w:rsid w:val="002C3B5D"/>
    <w:rsid w:val="00A90FC6"/>
    <w:rsid w:val="00AB7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8AAB75"/>
  <w15:docId w15:val="{1C1CC88D-A526-3141-B8C3-5BE2F6B7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arieq.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1FNz5gvaeipdbrpdemNP8fYOzg==">CgMxLjAyCGguZ2pkZ3hzOAByITFCRTg2UWdZemw4RUd4c3h3VVpIUDExc3Zfb0NndkZQOQ==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5822</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Jamilah Ameziane</dc:creator>
  <cp:lastModifiedBy>Khalid Mouhmouh</cp:lastModifiedBy>
  <cp:revision>2</cp:revision>
  <dcterms:created xsi:type="dcterms:W3CDTF">2023-09-17T16:04:00Z</dcterms:created>
  <dcterms:modified xsi:type="dcterms:W3CDTF">2023-09-17T16:04:00Z</dcterms:modified>
</cp:coreProperties>
</file>