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C" w:rsidRDefault="0028774C" w:rsidP="00C66DDE">
      <w:pPr>
        <w:pStyle w:val="Kop3"/>
        <w:numPr>
          <w:ilvl w:val="0"/>
          <w:numId w:val="0"/>
        </w:numPr>
      </w:pPr>
      <w:bookmarkStart w:id="0" w:name="_Toc434228495"/>
      <w:r>
        <w:t xml:space="preserve">Kwaliteitsonderzoek onder leerlingen – </w:t>
      </w:r>
      <w:bookmarkEnd w:id="0"/>
      <w:r>
        <w:t>2016-2017</w:t>
      </w:r>
    </w:p>
    <w:p w:rsidR="0028774C" w:rsidRDefault="0028774C" w:rsidP="0028774C">
      <w:r>
        <w:t xml:space="preserve">In </w:t>
      </w:r>
      <w:r w:rsidR="008D0921">
        <w:t>januari</w:t>
      </w:r>
      <w:bookmarkStart w:id="1" w:name="_GoBack"/>
      <w:bookmarkEnd w:id="1"/>
      <w:r>
        <w:t xml:space="preserve"> 2017 zijn de leerlingen van de klassen 1 t/m 4 met behulp van de vragenlijst </w:t>
      </w:r>
      <w:proofErr w:type="spellStart"/>
      <w:r>
        <w:t>ProZo</w:t>
      </w:r>
      <w:proofErr w:type="spellEnd"/>
      <w:r>
        <w:t xml:space="preserve"> bevraagd naar de kwaliteit van ons onderwijs.  De leerlingen konden daarbij een cijfer geven van 1 t/m 4, waarbij een 4 de hoogste score is.</w:t>
      </w:r>
    </w:p>
    <w:p w:rsidR="0028774C" w:rsidRDefault="0028774C" w:rsidP="003C3B22">
      <w:pPr>
        <w:spacing w:after="0"/>
      </w:pPr>
      <w:r>
        <w:t xml:space="preserve">Dit onderzoek is jaarlijks afgenomen. Dit jaar is echter gekozen voor de afname van een beperkt aantal thema’s. Eerst is met het </w:t>
      </w:r>
      <w:proofErr w:type="spellStart"/>
      <w:r>
        <w:t>leerlingpanel</w:t>
      </w:r>
      <w:proofErr w:type="spellEnd"/>
      <w:r>
        <w:t xml:space="preserve"> van De Boog besproken wat zij zelf </w:t>
      </w:r>
      <w:r w:rsidR="00C66DDE">
        <w:t>belangrijk</w:t>
      </w:r>
      <w:r>
        <w:t xml:space="preserve"> vinden</w:t>
      </w:r>
      <w:r w:rsidR="00C66DDE">
        <w:t xml:space="preserve"> in het onderwijs</w:t>
      </w:r>
      <w:r>
        <w:t>. Daar</w:t>
      </w:r>
      <w:r w:rsidR="00C66DDE">
        <w:t>uit</w:t>
      </w:r>
      <w:r>
        <w:t xml:space="preserve"> kwamen de volgende </w:t>
      </w:r>
      <w:r w:rsidR="003C3B22">
        <w:t xml:space="preserve">6 </w:t>
      </w:r>
      <w:r>
        <w:t>thema’s naar voren:</w:t>
      </w:r>
    </w:p>
    <w:p w:rsidR="0028774C" w:rsidRDefault="0028774C" w:rsidP="0028774C">
      <w:pPr>
        <w:pStyle w:val="Lijstalinea"/>
        <w:numPr>
          <w:ilvl w:val="0"/>
          <w:numId w:val="3"/>
        </w:numPr>
      </w:pPr>
      <w:r>
        <w:t>Zelfstandigheid</w:t>
      </w:r>
    </w:p>
    <w:p w:rsidR="0028774C" w:rsidRDefault="0028774C" w:rsidP="0028774C">
      <w:pPr>
        <w:pStyle w:val="Lijstalinea"/>
        <w:numPr>
          <w:ilvl w:val="0"/>
          <w:numId w:val="3"/>
        </w:numPr>
      </w:pPr>
      <w:r>
        <w:t>Stimulerende omgeving</w:t>
      </w:r>
    </w:p>
    <w:p w:rsidR="0028774C" w:rsidRDefault="0028774C" w:rsidP="0028774C">
      <w:pPr>
        <w:pStyle w:val="Lijstalinea"/>
        <w:numPr>
          <w:ilvl w:val="0"/>
          <w:numId w:val="3"/>
        </w:numPr>
      </w:pPr>
      <w:r>
        <w:t>Veiligheid</w:t>
      </w:r>
    </w:p>
    <w:p w:rsidR="0028774C" w:rsidRDefault="0028774C" w:rsidP="0028774C">
      <w:pPr>
        <w:pStyle w:val="Lijstalinea"/>
        <w:numPr>
          <w:ilvl w:val="0"/>
          <w:numId w:val="3"/>
        </w:numPr>
      </w:pPr>
      <w:r>
        <w:t>Sociale competenties</w:t>
      </w:r>
    </w:p>
    <w:p w:rsidR="0028774C" w:rsidRDefault="0028774C" w:rsidP="0028774C">
      <w:pPr>
        <w:pStyle w:val="Lijstalinea"/>
        <w:numPr>
          <w:ilvl w:val="0"/>
          <w:numId w:val="3"/>
        </w:numPr>
      </w:pPr>
      <w:r>
        <w:t>Stages en loopbaan</w:t>
      </w:r>
    </w:p>
    <w:p w:rsidR="0028774C" w:rsidRDefault="0028774C" w:rsidP="0028774C">
      <w:pPr>
        <w:pStyle w:val="Lijstalinea"/>
        <w:numPr>
          <w:ilvl w:val="0"/>
          <w:numId w:val="3"/>
        </w:numPr>
      </w:pPr>
      <w:r>
        <w:t>Begeleiding</w:t>
      </w:r>
    </w:p>
    <w:p w:rsidR="003C3B22" w:rsidRDefault="003C3B22" w:rsidP="003C3B22">
      <w:r>
        <w:t>Vervolgens zijn bij de afname van het onderzoek onder de leerlingen alleen de vragen voorgelegd die betrekking hadden op bovengenoemde thema’s, waarbij uiteraard de klassen 1 en 2 geen vragen over de stages kregen, omdat dit voor hen nog niet van toepassing is.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</w:tblGrid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spacing w:after="0"/>
              <w:rPr>
                <w:b/>
                <w:szCs w:val="20"/>
                <w:lang w:eastAsia="nl-NL"/>
              </w:rPr>
            </w:pPr>
            <w:r w:rsidRPr="00B255B8">
              <w:rPr>
                <w:b/>
                <w:szCs w:val="20"/>
                <w:lang w:eastAsia="nl-NL"/>
              </w:rPr>
              <w:t>Samenvatting scores</w:t>
            </w:r>
          </w:p>
        </w:tc>
        <w:tc>
          <w:tcPr>
            <w:tcW w:w="1134" w:type="dxa"/>
            <w:shd w:val="clear" w:color="auto" w:fill="auto"/>
          </w:tcPr>
          <w:p w:rsidR="003C3B22" w:rsidRDefault="003C3B22" w:rsidP="00E8475D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 w:rsidRPr="00B255B8">
              <w:rPr>
                <w:b/>
                <w:szCs w:val="20"/>
                <w:lang w:eastAsia="nl-NL"/>
              </w:rPr>
              <w:t>De Boog</w:t>
            </w:r>
          </w:p>
          <w:p w:rsidR="003C3B22" w:rsidRPr="00B255B8" w:rsidRDefault="003C3B22" w:rsidP="00E8475D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2014-‘15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De Boog 2015-‘16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 w:rsidRPr="00B255B8">
              <w:rPr>
                <w:b/>
                <w:szCs w:val="20"/>
                <w:lang w:eastAsia="nl-NL"/>
              </w:rPr>
              <w:t>Landelijk</w:t>
            </w:r>
            <w:r>
              <w:rPr>
                <w:b/>
                <w:szCs w:val="20"/>
                <w:lang w:eastAsia="nl-NL"/>
              </w:rPr>
              <w:t xml:space="preserve"> 2016-'17</w:t>
            </w:r>
          </w:p>
        </w:tc>
        <w:tc>
          <w:tcPr>
            <w:tcW w:w="1134" w:type="dxa"/>
          </w:tcPr>
          <w:p w:rsidR="003C3B22" w:rsidRDefault="003C3B22" w:rsidP="00E8475D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De Boog</w:t>
            </w:r>
          </w:p>
          <w:p w:rsidR="003C3B22" w:rsidRPr="00B255B8" w:rsidRDefault="003C3B22" w:rsidP="00E8475D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2016-‘17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02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Passend programma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3.12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3.20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22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Adaptief onderwijs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3.32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3.29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29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Zelfstandigheid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3.03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3.04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10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3.26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Stimulerende omgeving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3.15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3.14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13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3.27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Veiligheid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3.34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3.39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27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3.45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Levensechte leerbronnen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3.02</w:t>
            </w:r>
          </w:p>
        </w:tc>
        <w:tc>
          <w:tcPr>
            <w:tcW w:w="1134" w:type="dxa"/>
          </w:tcPr>
          <w:p w:rsidR="003C3B22" w:rsidRPr="00B255B8" w:rsidRDefault="003C3B22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2.99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06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Sociale competenties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3.15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3.10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02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3.19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Stages en loopbaan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3.20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3.36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14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3.32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Begeleiding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3.06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3.21</w:t>
            </w:r>
          </w:p>
        </w:tc>
        <w:tc>
          <w:tcPr>
            <w:tcW w:w="1134" w:type="dxa"/>
          </w:tcPr>
          <w:p w:rsidR="003C3B22" w:rsidRPr="00B255B8" w:rsidRDefault="003C3B22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3.1</w:t>
            </w:r>
            <w:r>
              <w:rPr>
                <w:szCs w:val="20"/>
                <w:lang w:eastAsia="nl-NL"/>
              </w:rPr>
              <w:t>6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3.31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Individueel ontwikkelplan en portfolio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3.40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3.26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14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Vastleggen resultaten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3.11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3.18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21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Leeropbrengsten wonen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3.54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3.49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56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Leeropbrengsten werken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3.36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3.34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 w:rsidR="00C66DDE">
              <w:rPr>
                <w:szCs w:val="20"/>
                <w:lang w:eastAsia="nl-NL"/>
              </w:rPr>
              <w:t>47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numPr>
                <w:ilvl w:val="0"/>
                <w:numId w:val="2"/>
              </w:numPr>
              <w:spacing w:after="0"/>
              <w:ind w:left="459" w:hanging="425"/>
              <w:contextualSpacing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Leeropbrengsten vrije tijd en burgerschap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3.39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3.45</w:t>
            </w:r>
          </w:p>
        </w:tc>
        <w:tc>
          <w:tcPr>
            <w:tcW w:w="1134" w:type="dxa"/>
          </w:tcPr>
          <w:p w:rsidR="003C3B22" w:rsidRPr="00B255B8" w:rsidRDefault="003C3B22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 w:rsidRPr="00B255B8">
              <w:rPr>
                <w:szCs w:val="20"/>
                <w:lang w:eastAsia="nl-NL"/>
              </w:rPr>
              <w:t>3.</w:t>
            </w:r>
            <w:r>
              <w:rPr>
                <w:szCs w:val="20"/>
                <w:lang w:eastAsia="nl-NL"/>
              </w:rPr>
              <w:t>50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szCs w:val="20"/>
                <w:lang w:eastAsia="nl-NL"/>
              </w:rPr>
            </w:pPr>
            <w:r>
              <w:rPr>
                <w:szCs w:val="20"/>
                <w:lang w:eastAsia="nl-NL"/>
              </w:rPr>
              <w:t>-</w:t>
            </w:r>
          </w:p>
        </w:tc>
      </w:tr>
      <w:tr w:rsidR="003C3B22" w:rsidRPr="00B255B8" w:rsidTr="00736B9E">
        <w:tc>
          <w:tcPr>
            <w:tcW w:w="4077" w:type="dxa"/>
            <w:shd w:val="clear" w:color="auto" w:fill="auto"/>
          </w:tcPr>
          <w:p w:rsidR="003C3B22" w:rsidRPr="00B255B8" w:rsidRDefault="003C3B22" w:rsidP="00E8475D">
            <w:pPr>
              <w:spacing w:after="0"/>
              <w:rPr>
                <w:b/>
                <w:szCs w:val="20"/>
                <w:lang w:eastAsia="nl-NL"/>
              </w:rPr>
            </w:pPr>
            <w:r w:rsidRPr="00B255B8">
              <w:rPr>
                <w:b/>
                <w:szCs w:val="20"/>
                <w:lang w:eastAsia="nl-NL"/>
              </w:rPr>
              <w:t>Gemiddelde score</w:t>
            </w:r>
          </w:p>
        </w:tc>
        <w:tc>
          <w:tcPr>
            <w:tcW w:w="1134" w:type="dxa"/>
            <w:shd w:val="clear" w:color="auto" w:fill="auto"/>
          </w:tcPr>
          <w:p w:rsidR="003C3B22" w:rsidRPr="00B255B8" w:rsidRDefault="003C3B22" w:rsidP="003C3B22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 w:rsidRPr="00B255B8">
              <w:rPr>
                <w:b/>
                <w:szCs w:val="20"/>
                <w:lang w:eastAsia="nl-NL"/>
              </w:rPr>
              <w:t>3.</w:t>
            </w:r>
            <w:r>
              <w:rPr>
                <w:b/>
                <w:szCs w:val="20"/>
                <w:lang w:eastAsia="nl-NL"/>
              </w:rPr>
              <w:t>23</w:t>
            </w:r>
          </w:p>
        </w:tc>
        <w:tc>
          <w:tcPr>
            <w:tcW w:w="1134" w:type="dxa"/>
          </w:tcPr>
          <w:p w:rsidR="003C3B22" w:rsidRPr="00B255B8" w:rsidRDefault="003C3B22" w:rsidP="003C3B22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3.24</w:t>
            </w:r>
          </w:p>
        </w:tc>
        <w:tc>
          <w:tcPr>
            <w:tcW w:w="1134" w:type="dxa"/>
          </w:tcPr>
          <w:p w:rsidR="003C3B22" w:rsidRPr="00B255B8" w:rsidRDefault="003C3B22" w:rsidP="00C66DDE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 w:rsidRPr="00B255B8">
              <w:rPr>
                <w:b/>
                <w:szCs w:val="20"/>
                <w:lang w:eastAsia="nl-NL"/>
              </w:rPr>
              <w:t>3.</w:t>
            </w:r>
            <w:r w:rsidR="00C66DDE">
              <w:rPr>
                <w:b/>
                <w:szCs w:val="20"/>
                <w:lang w:eastAsia="nl-NL"/>
              </w:rPr>
              <w:t>24</w:t>
            </w:r>
          </w:p>
        </w:tc>
        <w:tc>
          <w:tcPr>
            <w:tcW w:w="1134" w:type="dxa"/>
          </w:tcPr>
          <w:p w:rsidR="003C3B22" w:rsidRPr="00B255B8" w:rsidRDefault="00C66DDE" w:rsidP="00E8475D">
            <w:pPr>
              <w:spacing w:after="0"/>
              <w:jc w:val="right"/>
              <w:rPr>
                <w:b/>
                <w:szCs w:val="20"/>
                <w:lang w:eastAsia="nl-NL"/>
              </w:rPr>
            </w:pPr>
            <w:r>
              <w:rPr>
                <w:b/>
                <w:szCs w:val="20"/>
                <w:lang w:eastAsia="nl-NL"/>
              </w:rPr>
              <w:t>-</w:t>
            </w:r>
          </w:p>
        </w:tc>
      </w:tr>
    </w:tbl>
    <w:p w:rsidR="0028774C" w:rsidRDefault="0028774C" w:rsidP="0028774C">
      <w:pPr>
        <w:rPr>
          <w:i/>
        </w:rPr>
      </w:pPr>
    </w:p>
    <w:p w:rsidR="0028774C" w:rsidRDefault="0028774C" w:rsidP="0028774C">
      <w:pPr>
        <w:rPr>
          <w:i/>
        </w:rPr>
      </w:pPr>
      <w:r>
        <w:rPr>
          <w:i/>
        </w:rPr>
        <w:t xml:space="preserve">Alle gemiddelde scores van onze leerlingen zijn hoger dan </w:t>
      </w:r>
      <w:r w:rsidR="00C66DDE">
        <w:rPr>
          <w:i/>
        </w:rPr>
        <w:t>het landelijk gemiddelde. T.o.v. vorig jaar zijn 5 van de 6 gemiddelde scores hoger; alleen bij Stages en loopbaan wordt lager gescoord dan vorig jaar.</w:t>
      </w:r>
    </w:p>
    <w:p w:rsidR="008930FD" w:rsidRDefault="008930FD"/>
    <w:sectPr w:rsidR="00893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69E"/>
    <w:multiLevelType w:val="multilevel"/>
    <w:tmpl w:val="62A260A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CC45E21"/>
    <w:multiLevelType w:val="hybridMultilevel"/>
    <w:tmpl w:val="E49E4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16606"/>
    <w:multiLevelType w:val="hybridMultilevel"/>
    <w:tmpl w:val="A2A8AB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C"/>
    <w:rsid w:val="000A2EA1"/>
    <w:rsid w:val="0028774C"/>
    <w:rsid w:val="003C3B22"/>
    <w:rsid w:val="006F19D6"/>
    <w:rsid w:val="008930FD"/>
    <w:rsid w:val="008D0921"/>
    <w:rsid w:val="00C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774C"/>
    <w:pPr>
      <w:spacing w:line="240" w:lineRule="auto"/>
    </w:pPr>
    <w:rPr>
      <w:rFonts w:ascii="Cambria" w:eastAsia="Times New Roman" w:hAnsi="Cambria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28774C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8774C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Cambria" w:hAnsi="Calibri"/>
      <w:b/>
      <w:bCs/>
      <w:color w:val="4F81BD"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28774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="Cambria" w:hAnsi="Calibri"/>
      <w:b/>
      <w:bCs/>
      <w:color w:val="4F81BD"/>
      <w:sz w:val="24"/>
    </w:rPr>
  </w:style>
  <w:style w:type="paragraph" w:styleId="Kop4">
    <w:name w:val="heading 4"/>
    <w:basedOn w:val="Standaard"/>
    <w:next w:val="Standaard"/>
    <w:link w:val="Kop4Char"/>
    <w:qFormat/>
    <w:rsid w:val="0028774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="Cambria" w:hAnsi="Calibri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28774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Cambria" w:hAnsi="Calibri"/>
      <w:color w:val="244061"/>
    </w:rPr>
  </w:style>
  <w:style w:type="paragraph" w:styleId="Kop6">
    <w:name w:val="heading 6"/>
    <w:basedOn w:val="Standaard"/>
    <w:next w:val="Standaard"/>
    <w:link w:val="Kop6Char"/>
    <w:qFormat/>
    <w:rsid w:val="0028774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Cambria" w:hAnsi="Calibri"/>
      <w:i/>
      <w:iCs/>
      <w:color w:val="244061"/>
    </w:rPr>
  </w:style>
  <w:style w:type="paragraph" w:styleId="Kop7">
    <w:name w:val="heading 7"/>
    <w:basedOn w:val="Standaard"/>
    <w:next w:val="Standaard"/>
    <w:link w:val="Kop7Char"/>
    <w:qFormat/>
    <w:rsid w:val="0028774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Cambria" w:hAnsi="Calibri"/>
      <w:i/>
      <w:iCs/>
      <w:color w:val="404040"/>
    </w:rPr>
  </w:style>
  <w:style w:type="paragraph" w:styleId="Kop8">
    <w:name w:val="heading 8"/>
    <w:basedOn w:val="Standaard"/>
    <w:next w:val="Standaard"/>
    <w:link w:val="Kop8Char"/>
    <w:qFormat/>
    <w:rsid w:val="0028774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Cambria" w:hAnsi="Calibri"/>
      <w:color w:val="363636"/>
      <w:szCs w:val="20"/>
    </w:rPr>
  </w:style>
  <w:style w:type="paragraph" w:styleId="Kop9">
    <w:name w:val="heading 9"/>
    <w:basedOn w:val="Standaard"/>
    <w:next w:val="Standaard"/>
    <w:link w:val="Kop9Char"/>
    <w:qFormat/>
    <w:rsid w:val="0028774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Cambria" w:hAnsi="Calibri"/>
      <w:i/>
      <w:iCs/>
      <w:color w:val="36363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774C"/>
    <w:rPr>
      <w:rFonts w:ascii="Calibri" w:eastAsia="Cambria" w:hAnsi="Calibri" w:cs="Times New Roman"/>
      <w:b/>
      <w:bCs/>
      <w:color w:val="345A8A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28774C"/>
    <w:rPr>
      <w:rFonts w:ascii="Calibri" w:eastAsia="Cambria" w:hAnsi="Calibri" w:cs="Times New Roman"/>
      <w:b/>
      <w:bCs/>
      <w:color w:val="4F81BD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28774C"/>
    <w:rPr>
      <w:rFonts w:ascii="Calibri" w:eastAsia="Cambria" w:hAnsi="Calibri" w:cs="Times New Roman"/>
      <w:b/>
      <w:bCs/>
      <w:color w:val="4F81BD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28774C"/>
    <w:rPr>
      <w:rFonts w:ascii="Calibri" w:eastAsia="Cambria" w:hAnsi="Calibri" w:cs="Times New Roman"/>
      <w:b/>
      <w:bCs/>
      <w:i/>
      <w:iCs/>
      <w:color w:val="4F81BD"/>
      <w:sz w:val="20"/>
      <w:szCs w:val="24"/>
    </w:rPr>
  </w:style>
  <w:style w:type="character" w:customStyle="1" w:styleId="Kop5Char">
    <w:name w:val="Kop 5 Char"/>
    <w:basedOn w:val="Standaardalinea-lettertype"/>
    <w:link w:val="Kop5"/>
    <w:rsid w:val="0028774C"/>
    <w:rPr>
      <w:rFonts w:ascii="Calibri" w:eastAsia="Cambria" w:hAnsi="Calibri" w:cs="Times New Roman"/>
      <w:color w:val="244061"/>
      <w:sz w:val="20"/>
      <w:szCs w:val="24"/>
    </w:rPr>
  </w:style>
  <w:style w:type="character" w:customStyle="1" w:styleId="Kop6Char">
    <w:name w:val="Kop 6 Char"/>
    <w:basedOn w:val="Standaardalinea-lettertype"/>
    <w:link w:val="Kop6"/>
    <w:rsid w:val="0028774C"/>
    <w:rPr>
      <w:rFonts w:ascii="Calibri" w:eastAsia="Cambria" w:hAnsi="Calibri" w:cs="Times New Roman"/>
      <w:i/>
      <w:iCs/>
      <w:color w:val="244061"/>
      <w:sz w:val="20"/>
      <w:szCs w:val="24"/>
    </w:rPr>
  </w:style>
  <w:style w:type="character" w:customStyle="1" w:styleId="Kop7Char">
    <w:name w:val="Kop 7 Char"/>
    <w:basedOn w:val="Standaardalinea-lettertype"/>
    <w:link w:val="Kop7"/>
    <w:rsid w:val="0028774C"/>
    <w:rPr>
      <w:rFonts w:ascii="Calibri" w:eastAsia="Cambria" w:hAnsi="Calibri" w:cs="Times New Roman"/>
      <w:i/>
      <w:iCs/>
      <w:color w:val="404040"/>
      <w:sz w:val="20"/>
      <w:szCs w:val="24"/>
    </w:rPr>
  </w:style>
  <w:style w:type="character" w:customStyle="1" w:styleId="Kop8Char">
    <w:name w:val="Kop 8 Char"/>
    <w:basedOn w:val="Standaardalinea-lettertype"/>
    <w:link w:val="Kop8"/>
    <w:rsid w:val="0028774C"/>
    <w:rPr>
      <w:rFonts w:ascii="Calibri" w:eastAsia="Cambria" w:hAnsi="Calibri" w:cs="Times New Roman"/>
      <w:color w:val="363636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8774C"/>
    <w:rPr>
      <w:rFonts w:ascii="Calibri" w:eastAsia="Cambria" w:hAnsi="Calibri" w:cs="Times New Roman"/>
      <w:i/>
      <w:iCs/>
      <w:color w:val="363636"/>
      <w:sz w:val="20"/>
      <w:szCs w:val="20"/>
    </w:rPr>
  </w:style>
  <w:style w:type="paragraph" w:styleId="Lijstalinea">
    <w:name w:val="List Paragraph"/>
    <w:basedOn w:val="Standaard"/>
    <w:uiPriority w:val="34"/>
    <w:qFormat/>
    <w:rsid w:val="0028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774C"/>
    <w:pPr>
      <w:spacing w:line="240" w:lineRule="auto"/>
    </w:pPr>
    <w:rPr>
      <w:rFonts w:ascii="Cambria" w:eastAsia="Times New Roman" w:hAnsi="Cambria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28774C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28774C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Cambria" w:hAnsi="Calibri"/>
      <w:b/>
      <w:bCs/>
      <w:color w:val="4F81BD"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28774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="Cambria" w:hAnsi="Calibri"/>
      <w:b/>
      <w:bCs/>
      <w:color w:val="4F81BD"/>
      <w:sz w:val="24"/>
    </w:rPr>
  </w:style>
  <w:style w:type="paragraph" w:styleId="Kop4">
    <w:name w:val="heading 4"/>
    <w:basedOn w:val="Standaard"/>
    <w:next w:val="Standaard"/>
    <w:link w:val="Kop4Char"/>
    <w:qFormat/>
    <w:rsid w:val="0028774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="Cambria" w:hAnsi="Calibri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qFormat/>
    <w:rsid w:val="0028774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Cambria" w:hAnsi="Calibri"/>
      <w:color w:val="244061"/>
    </w:rPr>
  </w:style>
  <w:style w:type="paragraph" w:styleId="Kop6">
    <w:name w:val="heading 6"/>
    <w:basedOn w:val="Standaard"/>
    <w:next w:val="Standaard"/>
    <w:link w:val="Kop6Char"/>
    <w:qFormat/>
    <w:rsid w:val="0028774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Cambria" w:hAnsi="Calibri"/>
      <w:i/>
      <w:iCs/>
      <w:color w:val="244061"/>
    </w:rPr>
  </w:style>
  <w:style w:type="paragraph" w:styleId="Kop7">
    <w:name w:val="heading 7"/>
    <w:basedOn w:val="Standaard"/>
    <w:next w:val="Standaard"/>
    <w:link w:val="Kop7Char"/>
    <w:qFormat/>
    <w:rsid w:val="0028774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Cambria" w:hAnsi="Calibri"/>
      <w:i/>
      <w:iCs/>
      <w:color w:val="404040"/>
    </w:rPr>
  </w:style>
  <w:style w:type="paragraph" w:styleId="Kop8">
    <w:name w:val="heading 8"/>
    <w:basedOn w:val="Standaard"/>
    <w:next w:val="Standaard"/>
    <w:link w:val="Kop8Char"/>
    <w:qFormat/>
    <w:rsid w:val="0028774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Cambria" w:hAnsi="Calibri"/>
      <w:color w:val="363636"/>
      <w:szCs w:val="20"/>
    </w:rPr>
  </w:style>
  <w:style w:type="paragraph" w:styleId="Kop9">
    <w:name w:val="heading 9"/>
    <w:basedOn w:val="Standaard"/>
    <w:next w:val="Standaard"/>
    <w:link w:val="Kop9Char"/>
    <w:qFormat/>
    <w:rsid w:val="0028774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Cambria" w:hAnsi="Calibri"/>
      <w:i/>
      <w:iCs/>
      <w:color w:val="36363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774C"/>
    <w:rPr>
      <w:rFonts w:ascii="Calibri" w:eastAsia="Cambria" w:hAnsi="Calibri" w:cs="Times New Roman"/>
      <w:b/>
      <w:bCs/>
      <w:color w:val="345A8A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28774C"/>
    <w:rPr>
      <w:rFonts w:ascii="Calibri" w:eastAsia="Cambria" w:hAnsi="Calibri" w:cs="Times New Roman"/>
      <w:b/>
      <w:bCs/>
      <w:color w:val="4F81BD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28774C"/>
    <w:rPr>
      <w:rFonts w:ascii="Calibri" w:eastAsia="Cambria" w:hAnsi="Calibri" w:cs="Times New Roman"/>
      <w:b/>
      <w:bCs/>
      <w:color w:val="4F81BD"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28774C"/>
    <w:rPr>
      <w:rFonts w:ascii="Calibri" w:eastAsia="Cambria" w:hAnsi="Calibri" w:cs="Times New Roman"/>
      <w:b/>
      <w:bCs/>
      <w:i/>
      <w:iCs/>
      <w:color w:val="4F81BD"/>
      <w:sz w:val="20"/>
      <w:szCs w:val="24"/>
    </w:rPr>
  </w:style>
  <w:style w:type="character" w:customStyle="1" w:styleId="Kop5Char">
    <w:name w:val="Kop 5 Char"/>
    <w:basedOn w:val="Standaardalinea-lettertype"/>
    <w:link w:val="Kop5"/>
    <w:rsid w:val="0028774C"/>
    <w:rPr>
      <w:rFonts w:ascii="Calibri" w:eastAsia="Cambria" w:hAnsi="Calibri" w:cs="Times New Roman"/>
      <w:color w:val="244061"/>
      <w:sz w:val="20"/>
      <w:szCs w:val="24"/>
    </w:rPr>
  </w:style>
  <w:style w:type="character" w:customStyle="1" w:styleId="Kop6Char">
    <w:name w:val="Kop 6 Char"/>
    <w:basedOn w:val="Standaardalinea-lettertype"/>
    <w:link w:val="Kop6"/>
    <w:rsid w:val="0028774C"/>
    <w:rPr>
      <w:rFonts w:ascii="Calibri" w:eastAsia="Cambria" w:hAnsi="Calibri" w:cs="Times New Roman"/>
      <w:i/>
      <w:iCs/>
      <w:color w:val="244061"/>
      <w:sz w:val="20"/>
      <w:szCs w:val="24"/>
    </w:rPr>
  </w:style>
  <w:style w:type="character" w:customStyle="1" w:styleId="Kop7Char">
    <w:name w:val="Kop 7 Char"/>
    <w:basedOn w:val="Standaardalinea-lettertype"/>
    <w:link w:val="Kop7"/>
    <w:rsid w:val="0028774C"/>
    <w:rPr>
      <w:rFonts w:ascii="Calibri" w:eastAsia="Cambria" w:hAnsi="Calibri" w:cs="Times New Roman"/>
      <w:i/>
      <w:iCs/>
      <w:color w:val="404040"/>
      <w:sz w:val="20"/>
      <w:szCs w:val="24"/>
    </w:rPr>
  </w:style>
  <w:style w:type="character" w:customStyle="1" w:styleId="Kop8Char">
    <w:name w:val="Kop 8 Char"/>
    <w:basedOn w:val="Standaardalinea-lettertype"/>
    <w:link w:val="Kop8"/>
    <w:rsid w:val="0028774C"/>
    <w:rPr>
      <w:rFonts w:ascii="Calibri" w:eastAsia="Cambria" w:hAnsi="Calibri" w:cs="Times New Roman"/>
      <w:color w:val="363636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28774C"/>
    <w:rPr>
      <w:rFonts w:ascii="Calibri" w:eastAsia="Cambria" w:hAnsi="Calibri" w:cs="Times New Roman"/>
      <w:i/>
      <w:iCs/>
      <w:color w:val="363636"/>
      <w:sz w:val="20"/>
      <w:szCs w:val="20"/>
    </w:rPr>
  </w:style>
  <w:style w:type="paragraph" w:styleId="Lijstalinea">
    <w:name w:val="List Paragraph"/>
    <w:basedOn w:val="Standaard"/>
    <w:uiPriority w:val="34"/>
    <w:qFormat/>
    <w:rsid w:val="0028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2159650C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 van Gemeren</dc:creator>
  <cp:lastModifiedBy>Susan Vos</cp:lastModifiedBy>
  <cp:revision>3</cp:revision>
  <dcterms:created xsi:type="dcterms:W3CDTF">2017-09-22T06:40:00Z</dcterms:created>
  <dcterms:modified xsi:type="dcterms:W3CDTF">2017-09-22T09:50:00Z</dcterms:modified>
</cp:coreProperties>
</file>