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AB3" w:rsidRPr="00DB3AB3" w:rsidRDefault="00DB3AB3" w:rsidP="00DB3AB3">
      <w:pPr>
        <w:keepNext/>
        <w:keepLines/>
        <w:spacing w:before="40" w:after="0" w:line="240" w:lineRule="auto"/>
        <w:outlineLvl w:val="1"/>
        <w:rPr>
          <w:rFonts w:eastAsia="Times New Roman" w:cstheme="majorBidi"/>
          <w:b/>
          <w:sz w:val="24"/>
          <w:szCs w:val="26"/>
          <w:lang w:eastAsia="nl-NL"/>
        </w:rPr>
      </w:pPr>
      <w:bookmarkStart w:id="0" w:name="_Toc436725743"/>
      <w:r w:rsidRPr="00DB3AB3">
        <w:rPr>
          <w:rFonts w:eastAsia="Times New Roman" w:cstheme="majorBidi"/>
          <w:b/>
          <w:sz w:val="24"/>
          <w:szCs w:val="26"/>
          <w:lang w:eastAsia="nl-NL"/>
        </w:rPr>
        <w:t>Grenzen aan ondersteuning bij aanmelding</w:t>
      </w:r>
      <w:bookmarkEnd w:id="0"/>
    </w:p>
    <w:p w:rsidR="00DB3AB3" w:rsidRPr="00DB3AB3" w:rsidRDefault="00DB3AB3" w:rsidP="00DB3AB3">
      <w:pPr>
        <w:spacing w:line="240" w:lineRule="auto"/>
        <w:rPr>
          <w:rFonts w:cs="Segoe UI"/>
          <w:sz w:val="24"/>
        </w:rPr>
      </w:pPr>
      <w:r w:rsidRPr="00DB3AB3">
        <w:rPr>
          <w:rFonts w:eastAsia="Times New Roman" w:cs="Segoe UI"/>
          <w:sz w:val="24"/>
          <w:szCs w:val="24"/>
          <w:lang w:eastAsia="nl-NL"/>
        </w:rPr>
        <w:t>Vanaf het moment dat de leerling bij het Aletta wordt aangemeld krijgen we zorgplicht. Dit is de taak om een passende onderwijsplek te bieden of door te geleiden naar een andere, passende plek. Bij aanmelding geven de ouders aan of ze verwachten dat hun kind ondersteuning nodig heeft bij het volgen van onderwijs. Als het dr. Aletta Jacobs College van mening is dat onze school ondanks alle vormen van ondersteuning niet de plek is voor de leerling, dan gaan wij, in overleg met ouders, op zoek naar een meer passende plek.</w:t>
      </w:r>
      <w:r w:rsidRPr="00DB3AB3">
        <w:rPr>
          <w:sz w:val="24"/>
          <w:lang w:eastAsia="nl-NL"/>
        </w:rPr>
        <w:t xml:space="preserve"> </w:t>
      </w:r>
      <w:r w:rsidRPr="00DB3AB3">
        <w:rPr>
          <w:rFonts w:eastAsia="Times New Roman" w:cs="Segoe UI"/>
          <w:sz w:val="24"/>
          <w:szCs w:val="24"/>
          <w:lang w:eastAsia="nl-NL"/>
        </w:rPr>
        <w:t xml:space="preserve">Hiervan kan sprake zijn als we ook met aanvullende ondersteuning in de school en eventueel vanuit gemeenten niet kunnen voldoen aan de ondersteuningsbehoefte van de leerling en als het uitstroomperspectief van de leerling niet kan worden gerealiseerd in klassenverband. Tevens kan plaatsing op onze school niet als de leerling de orde en rust te sterk en blijvend verstoort. Meestal gaat het hier om </w:t>
      </w:r>
      <w:r w:rsidRPr="00DB3AB3">
        <w:rPr>
          <w:rFonts w:ascii="Calibri" w:hAnsi="Calibri" w:cs="Segoe UI"/>
          <w:sz w:val="24"/>
          <w:szCs w:val="24"/>
        </w:rPr>
        <w:t xml:space="preserve">leerlingen met een zware gedragsproblematiek, een meervoudige, complexe problematiek of een te gering ontwikkelingsperspectief. </w:t>
      </w:r>
      <w:r w:rsidRPr="00DB3AB3">
        <w:rPr>
          <w:rFonts w:cs="Segoe UI"/>
          <w:sz w:val="24"/>
          <w:szCs w:val="24"/>
        </w:rPr>
        <w:t>Voorbeelden van situaties, waarin de grens van onze mogelijkheden bereikt kan worden: </w:t>
      </w:r>
      <w:r w:rsidRPr="00DB3AB3">
        <w:rPr>
          <w:rFonts w:cs="Segoe UI"/>
          <w:sz w:val="24"/>
          <w:szCs w:val="24"/>
        </w:rPr>
        <w:br/>
      </w:r>
      <w:r w:rsidRPr="000D3501">
        <w:rPr>
          <w:rFonts w:cs="Segoe UI"/>
          <w:b/>
          <w:i/>
          <w:sz w:val="24"/>
          <w:szCs w:val="24"/>
        </w:rPr>
        <w:t>--</w:t>
      </w:r>
      <w:r w:rsidRPr="000D3501">
        <w:rPr>
          <w:rFonts w:cs="Segoe UI"/>
          <w:b/>
          <w:i/>
          <w:iCs/>
          <w:sz w:val="24"/>
        </w:rPr>
        <w:t xml:space="preserve"> Verstoring van rust en veiligheid</w:t>
      </w:r>
      <w:r w:rsidRPr="00DB3AB3">
        <w:rPr>
          <w:rFonts w:cs="Segoe UI"/>
          <w:b/>
          <w:i/>
          <w:sz w:val="24"/>
        </w:rPr>
        <w:br/>
      </w:r>
      <w:r w:rsidRPr="00DB3AB3">
        <w:rPr>
          <w:rFonts w:cs="Segoe UI"/>
          <w:sz w:val="24"/>
        </w:rPr>
        <w:t>Indien een leerling zodanig grote gedragsproblemen heeft, dat deze leiden tot (verwachte) ernstige verstoring van de rust en orde in de klas of dat de veiligheid van leerlingen en/of collega’s in het geding is.</w:t>
      </w:r>
      <w:r w:rsidRPr="00DB3AB3">
        <w:rPr>
          <w:rFonts w:cs="Segoe UI"/>
          <w:sz w:val="24"/>
        </w:rPr>
        <w:br/>
      </w:r>
      <w:r w:rsidRPr="00DB3AB3">
        <w:rPr>
          <w:rFonts w:cs="Segoe UI"/>
          <w:b/>
          <w:i/>
          <w:sz w:val="24"/>
        </w:rPr>
        <w:t xml:space="preserve">-- </w:t>
      </w:r>
      <w:r w:rsidRPr="000D3501">
        <w:rPr>
          <w:rFonts w:cs="Segoe UI"/>
          <w:b/>
          <w:i/>
          <w:iCs/>
          <w:sz w:val="24"/>
        </w:rPr>
        <w:t>Frictie tussen verzorging/behandeling en onderwijs</w:t>
      </w:r>
      <w:r w:rsidRPr="000D3501">
        <w:rPr>
          <w:rFonts w:cs="Segoe UI"/>
          <w:b/>
          <w:i/>
          <w:sz w:val="24"/>
        </w:rPr>
        <w:t> </w:t>
      </w:r>
      <w:r w:rsidRPr="00DB3AB3">
        <w:rPr>
          <w:rFonts w:cs="Segoe UI"/>
          <w:b/>
          <w:i/>
          <w:sz w:val="24"/>
        </w:rPr>
        <w:br/>
      </w:r>
      <w:r w:rsidRPr="00DB3AB3">
        <w:rPr>
          <w:rFonts w:cs="Segoe UI"/>
          <w:sz w:val="24"/>
        </w:rPr>
        <w:t>Indien een leerling een handicap heeft die een zodanige verzorging/behandeling vraagt dat daardoor zowel de zorg en behandeling voor de betreffende leerling als het onderwijs aan de leerling onvoldoende tot zijn recht kan komen. Het gaat hier bijvoorbeeld om leerlingen, die verpleegkundige handelingen vragen; de collega’s van de school is hiervoor onvoldoende toegerust. Ook speelt mee dat huidige wet- en regelgeving op de terreinen zorg en onderwijs beperkingen oplegt aan een gecombineerd aanbod van onderwijs en zorg. </w:t>
      </w:r>
      <w:r w:rsidRPr="00DB3AB3">
        <w:rPr>
          <w:rFonts w:cs="Segoe UI"/>
          <w:sz w:val="24"/>
        </w:rPr>
        <w:br/>
      </w:r>
      <w:r w:rsidRPr="00DB3AB3">
        <w:rPr>
          <w:rFonts w:cs="Segoe UI"/>
          <w:b/>
          <w:i/>
          <w:sz w:val="24"/>
        </w:rPr>
        <w:t xml:space="preserve">-- </w:t>
      </w:r>
      <w:r w:rsidRPr="000D3501">
        <w:rPr>
          <w:rFonts w:cs="Segoe UI"/>
          <w:b/>
          <w:i/>
          <w:iCs/>
          <w:sz w:val="24"/>
        </w:rPr>
        <w:t>Verstoring van het leerproces voor de andere leerlingen</w:t>
      </w:r>
      <w:r w:rsidRPr="00DB3AB3">
        <w:rPr>
          <w:rFonts w:cs="Segoe UI"/>
          <w:b/>
          <w:i/>
          <w:sz w:val="24"/>
        </w:rPr>
        <w:br/>
      </w:r>
      <w:r w:rsidRPr="00DB3AB3">
        <w:rPr>
          <w:rFonts w:cs="Segoe UI"/>
          <w:sz w:val="24"/>
        </w:rPr>
        <w:t>Indien het onderwijs aan de leerling met een handicap een zodanig beslag legt op de tijd en aandacht van de docent dat daardoor de tijd en aandacht voor de overige leerlingen in de klas onvoldoende of in het geheel niet kan worden geboden.  </w:t>
      </w:r>
      <w:r w:rsidRPr="00DB3AB3">
        <w:rPr>
          <w:rFonts w:cs="Segoe UI"/>
          <w:sz w:val="24"/>
        </w:rPr>
        <w:br/>
      </w:r>
      <w:r w:rsidRPr="00DB3AB3">
        <w:rPr>
          <w:rFonts w:cs="Segoe UI"/>
          <w:b/>
          <w:i/>
          <w:sz w:val="24"/>
        </w:rPr>
        <w:t xml:space="preserve">-- </w:t>
      </w:r>
      <w:r w:rsidRPr="000D3501">
        <w:rPr>
          <w:rFonts w:cs="Segoe UI"/>
          <w:b/>
          <w:i/>
          <w:iCs/>
          <w:sz w:val="24"/>
        </w:rPr>
        <w:t>Te geringe leerbaarheid</w:t>
      </w:r>
      <w:r w:rsidRPr="000D3501">
        <w:rPr>
          <w:rFonts w:cs="Segoe UI"/>
          <w:b/>
          <w:i/>
          <w:sz w:val="24"/>
        </w:rPr>
        <w:t> </w:t>
      </w:r>
      <w:r w:rsidRPr="00DB3AB3">
        <w:rPr>
          <w:rFonts w:cs="Segoe UI"/>
          <w:b/>
          <w:i/>
          <w:sz w:val="24"/>
        </w:rPr>
        <w:br/>
      </w:r>
      <w:r w:rsidRPr="00DB3AB3">
        <w:rPr>
          <w:rFonts w:cs="Segoe UI"/>
          <w:sz w:val="24"/>
        </w:rPr>
        <w:t xml:space="preserve">De leerling moet aan schoolse activiteiten kunnen deelnemen. Er zal dus voldoende mate van leerbaarheid moeten zijn. Het gaat hier met name om de ondergrens voor het praktijkonderwijs, waarvoor globaal een IQ van &gt;55 en een leerniveau van ongeveer begin/midden groep 4 basisonderwijs vereist is. </w:t>
      </w:r>
      <w:r w:rsidRPr="00DB3AB3">
        <w:rPr>
          <w:rFonts w:cs="Segoe UI"/>
          <w:sz w:val="24"/>
        </w:rPr>
        <w:br/>
      </w:r>
      <w:r w:rsidRPr="00DB3AB3">
        <w:rPr>
          <w:rFonts w:cs="Segoe UI"/>
          <w:b/>
          <w:i/>
          <w:sz w:val="24"/>
        </w:rPr>
        <w:t xml:space="preserve">-- </w:t>
      </w:r>
      <w:r w:rsidRPr="000D3501">
        <w:rPr>
          <w:rFonts w:cs="Segoe UI"/>
          <w:b/>
          <w:i/>
          <w:iCs/>
          <w:sz w:val="24"/>
        </w:rPr>
        <w:t>Blinde en slechtziende kinderen</w:t>
      </w:r>
      <w:r w:rsidRPr="000D3501">
        <w:rPr>
          <w:rFonts w:cs="Segoe UI"/>
          <w:b/>
          <w:i/>
          <w:sz w:val="24"/>
        </w:rPr>
        <w:t> </w:t>
      </w:r>
      <w:r w:rsidRPr="00DB3AB3">
        <w:rPr>
          <w:rFonts w:cs="Segoe UI"/>
          <w:b/>
          <w:i/>
          <w:sz w:val="24"/>
        </w:rPr>
        <w:br/>
      </w:r>
      <w:r w:rsidRPr="00DB3AB3">
        <w:rPr>
          <w:rFonts w:cs="Segoe UI"/>
          <w:sz w:val="24"/>
        </w:rPr>
        <w:t>In geval van een blinde of slechtziende leerling zal per leerling bekeken worden hoe en of het dr. Aletta Jacobs College op hoogwaardig niveau onderwijs kan bieden. </w:t>
      </w:r>
      <w:r w:rsidRPr="00DB3AB3">
        <w:rPr>
          <w:rFonts w:cs="Segoe UI"/>
          <w:sz w:val="24"/>
        </w:rPr>
        <w:br/>
      </w:r>
      <w:r w:rsidRPr="000D3501">
        <w:rPr>
          <w:rFonts w:cs="Segoe UI"/>
          <w:b/>
          <w:i/>
          <w:iCs/>
          <w:sz w:val="24"/>
        </w:rPr>
        <w:t>-- Dove en slechthorende kinderen</w:t>
      </w:r>
      <w:r w:rsidRPr="000D3501">
        <w:rPr>
          <w:rFonts w:cs="Segoe UI"/>
          <w:b/>
          <w:i/>
          <w:sz w:val="24"/>
        </w:rPr>
        <w:t> </w:t>
      </w:r>
      <w:r w:rsidRPr="00DB3AB3">
        <w:rPr>
          <w:rFonts w:cs="Segoe UI"/>
          <w:b/>
          <w:i/>
          <w:sz w:val="24"/>
        </w:rPr>
        <w:br/>
      </w:r>
      <w:r w:rsidRPr="00DB3AB3">
        <w:rPr>
          <w:rFonts w:cs="Segoe UI"/>
          <w:sz w:val="24"/>
        </w:rPr>
        <w:t>In geval van een dove of slechthorende leerling zal per individu bekeken worden hoe en of het dr. Aletta Jacobs College op hoogwaardig niveau onderwijs kan bieden. </w:t>
      </w:r>
      <w:r w:rsidRPr="00DB3AB3">
        <w:rPr>
          <w:rFonts w:cs="Segoe UI"/>
          <w:sz w:val="24"/>
        </w:rPr>
        <w:br/>
      </w:r>
      <w:r w:rsidRPr="000D3501">
        <w:rPr>
          <w:rFonts w:cs="Segoe UI"/>
          <w:b/>
          <w:i/>
          <w:iCs/>
          <w:sz w:val="24"/>
        </w:rPr>
        <w:t>-- Leerlingen met motorische beperkingen</w:t>
      </w:r>
      <w:r w:rsidRPr="000D3501">
        <w:rPr>
          <w:rFonts w:cs="Segoe UI"/>
          <w:b/>
          <w:i/>
          <w:sz w:val="24"/>
        </w:rPr>
        <w:t> </w:t>
      </w:r>
      <w:r w:rsidRPr="00DB3AB3">
        <w:rPr>
          <w:rFonts w:cs="Segoe UI"/>
          <w:b/>
          <w:i/>
          <w:sz w:val="24"/>
        </w:rPr>
        <w:br/>
      </w:r>
      <w:r w:rsidRPr="00DB3AB3">
        <w:rPr>
          <w:rFonts w:cs="Segoe UI"/>
          <w:sz w:val="24"/>
        </w:rPr>
        <w:t>De school is wel toegankelijk  voor bijvoorbeeld rolstoelafhankelijke leerlingen. In het praktijkonderwijs en in iets mindere mate in het vmbo worden echter veel praktijkvakken gegeven, die vooralsnog lastig realiseerbare aanpassingen vragen voor leerlingen met een motorische beperking. </w:t>
      </w:r>
    </w:p>
    <w:p w:rsidR="00D405B9" w:rsidRDefault="00D405B9">
      <w:bookmarkStart w:id="1" w:name="_GoBack"/>
      <w:bookmarkEnd w:id="1"/>
    </w:p>
    <w:sectPr w:rsidR="00D405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AB3"/>
    <w:rsid w:val="000D3501"/>
    <w:rsid w:val="00D405B9"/>
    <w:rsid w:val="00DB3AB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EBD734-5210-4EEF-9C82-35452097E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518</Words>
  <Characters>2851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 Drenth</dc:creator>
  <cp:keywords/>
  <dc:description/>
  <cp:lastModifiedBy>I. Drenth</cp:lastModifiedBy>
  <cp:revision>2</cp:revision>
  <dcterms:created xsi:type="dcterms:W3CDTF">2015-12-01T10:34:00Z</dcterms:created>
  <dcterms:modified xsi:type="dcterms:W3CDTF">2015-12-01T10:36:00Z</dcterms:modified>
</cp:coreProperties>
</file>