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FBE7C" w14:textId="77777777" w:rsidR="00FE5482" w:rsidRDefault="00766C42" w:rsidP="00725EB6">
      <w:pPr>
        <w:pStyle w:val="Kop1"/>
      </w:pPr>
      <w:r>
        <w:t>Opbrengsten</w:t>
      </w:r>
    </w:p>
    <w:p w14:paraId="6CDB71BD" w14:textId="77777777" w:rsidR="00725EB6" w:rsidRPr="00725EB6" w:rsidRDefault="00725EB6" w:rsidP="00725EB6"/>
    <w:p w14:paraId="39A73F92" w14:textId="77777777" w:rsidR="00FE689F" w:rsidRDefault="00FE689F" w:rsidP="00725EB6">
      <w:pPr>
        <w:pStyle w:val="Kop2"/>
      </w:pPr>
      <w:r w:rsidRPr="00D15840">
        <w:t xml:space="preserve">Gegevens </w:t>
      </w:r>
      <w:r>
        <w:t>leerrendementen</w:t>
      </w:r>
      <w:r w:rsidRPr="00D15840">
        <w:t xml:space="preserve"> leerlingen</w:t>
      </w:r>
    </w:p>
    <w:p w14:paraId="603E8AB2" w14:textId="77777777" w:rsidR="00FE689F" w:rsidRDefault="00FE689F" w:rsidP="00FE689F">
      <w:pPr>
        <w:rPr>
          <w:rFonts w:asciiTheme="majorHAnsi" w:hAnsiTheme="majorHAnsi"/>
        </w:rPr>
      </w:pPr>
      <w:r>
        <w:rPr>
          <w:rFonts w:asciiTheme="majorHAnsi" w:hAnsiTheme="majorHAnsi"/>
        </w:rPr>
        <w:t>Voor elke leerling wordt bij instroom een ontwikkelingsperspectief</w:t>
      </w:r>
      <w:r w:rsidR="00F323DE">
        <w:rPr>
          <w:rFonts w:asciiTheme="majorHAnsi" w:hAnsiTheme="majorHAnsi"/>
        </w:rPr>
        <w:t>plan (OPP)</w:t>
      </w:r>
      <w:r>
        <w:rPr>
          <w:rFonts w:asciiTheme="majorHAnsi" w:hAnsiTheme="majorHAnsi"/>
        </w:rPr>
        <w:t xml:space="preserve"> opgesteld met daarin een verwacht leerrendement per va</w:t>
      </w:r>
      <w:r w:rsidR="00263E15">
        <w:rPr>
          <w:rFonts w:asciiTheme="majorHAnsi" w:hAnsiTheme="majorHAnsi"/>
        </w:rPr>
        <w:t>kgebied.</w:t>
      </w:r>
      <w:r w:rsidR="00220A9D">
        <w:rPr>
          <w:rFonts w:asciiTheme="majorHAnsi" w:hAnsiTheme="majorHAnsi"/>
        </w:rPr>
        <w:t xml:space="preserve"> Wij stellen de doelen hoog </w:t>
      </w:r>
      <w:r w:rsidR="00725EB6">
        <w:rPr>
          <w:rFonts w:asciiTheme="majorHAnsi" w:hAnsiTheme="majorHAnsi"/>
        </w:rPr>
        <w:t>om de talenten van leerlingen tot bloei te laten komen.</w:t>
      </w:r>
      <w:r w:rsidR="00220A9D">
        <w:rPr>
          <w:rFonts w:asciiTheme="majorHAnsi" w:hAnsiTheme="majorHAnsi"/>
        </w:rPr>
        <w:t xml:space="preserve"> </w:t>
      </w:r>
      <w:r w:rsidR="00263E15">
        <w:rPr>
          <w:rFonts w:asciiTheme="majorHAnsi" w:hAnsiTheme="majorHAnsi"/>
        </w:rPr>
        <w:t xml:space="preserve">Jaarlijks wordt geëvalueerd of </w:t>
      </w:r>
      <w:r w:rsidR="00725EB6">
        <w:rPr>
          <w:rFonts w:asciiTheme="majorHAnsi" w:hAnsiTheme="majorHAnsi"/>
        </w:rPr>
        <w:t>het verwacht</w:t>
      </w:r>
      <w:r w:rsidR="00575D07">
        <w:rPr>
          <w:rFonts w:asciiTheme="majorHAnsi" w:hAnsiTheme="majorHAnsi"/>
        </w:rPr>
        <w:t>e</w:t>
      </w:r>
      <w:r w:rsidR="00263E15">
        <w:rPr>
          <w:rFonts w:asciiTheme="majorHAnsi" w:hAnsiTheme="majorHAnsi"/>
        </w:rPr>
        <w:t xml:space="preserve"> leerrendement wordt behaald. Indien mogelijk wordt het verwacht</w:t>
      </w:r>
      <w:r w:rsidR="00575D07">
        <w:rPr>
          <w:rFonts w:asciiTheme="majorHAnsi" w:hAnsiTheme="majorHAnsi"/>
        </w:rPr>
        <w:t>e</w:t>
      </w:r>
      <w:r w:rsidR="00263E15">
        <w:rPr>
          <w:rFonts w:asciiTheme="majorHAnsi" w:hAnsiTheme="majorHAnsi"/>
        </w:rPr>
        <w:t xml:space="preserve"> leerrendement omhoog bijgesteld en als het nodig is (na een jaar extra hulp) omlaag. Dit maakt dat in de bovenbouw het ontwikkelingsperspectief een reële weergave is van de mogelijkheden van de leerling. </w:t>
      </w:r>
    </w:p>
    <w:p w14:paraId="5A5BB384" w14:textId="77777777" w:rsidR="007F6F61" w:rsidRDefault="007F6F61" w:rsidP="00FE689F">
      <w:pPr>
        <w:rPr>
          <w:rFonts w:asciiTheme="majorHAnsi" w:hAnsiTheme="majorHAnsi"/>
        </w:rPr>
      </w:pPr>
      <w:r w:rsidRPr="007F6F61">
        <w:rPr>
          <w:rFonts w:asciiTheme="majorHAnsi" w:hAnsiTheme="majorHAnsi"/>
        </w:rPr>
        <w:t>In onderstaande tabel is weergeven hoeveel procent van de leerlingen uit groep 6 t/m 8 het verwachte leerrendem</w:t>
      </w:r>
      <w:r>
        <w:rPr>
          <w:rFonts w:asciiTheme="majorHAnsi" w:hAnsiTheme="majorHAnsi"/>
        </w:rPr>
        <w:t>ent per vakgebied behaald heeft gedurende</w:t>
      </w:r>
      <w:r w:rsidR="003634AD">
        <w:rPr>
          <w:rFonts w:asciiTheme="majorHAnsi" w:hAnsiTheme="majorHAnsi"/>
        </w:rPr>
        <w:t xml:space="preserve"> de afgelopen </w:t>
      </w:r>
      <w:r w:rsidR="005C6EF1">
        <w:rPr>
          <w:rFonts w:asciiTheme="majorHAnsi" w:hAnsiTheme="majorHAnsi"/>
        </w:rPr>
        <w:t>4</w:t>
      </w:r>
      <w:r w:rsidR="003634AD">
        <w:rPr>
          <w:rFonts w:asciiTheme="majorHAnsi" w:hAnsiTheme="majorHAnsi"/>
        </w:rPr>
        <w:t xml:space="preserve"> schooljaren. </w:t>
      </w:r>
      <w:r w:rsidR="003634AD">
        <w:rPr>
          <w:rFonts w:asciiTheme="majorHAnsi" w:hAnsiTheme="majorHAnsi"/>
        </w:rPr>
        <w:br/>
        <w:t>NB: voor scho</w:t>
      </w:r>
      <w:r w:rsidR="00B666D7">
        <w:rPr>
          <w:rFonts w:asciiTheme="majorHAnsi" w:hAnsiTheme="majorHAnsi"/>
        </w:rPr>
        <w:t>o</w:t>
      </w:r>
      <w:r w:rsidR="003634AD">
        <w:rPr>
          <w:rFonts w:asciiTheme="majorHAnsi" w:hAnsiTheme="majorHAnsi"/>
        </w:rPr>
        <w:t>ljaar 2019-2020 geldt dat deze percentages enkel weergeven wat de leerrendementen zijn geweest in</w:t>
      </w:r>
      <w:r>
        <w:rPr>
          <w:rFonts w:asciiTheme="majorHAnsi" w:hAnsiTheme="majorHAnsi"/>
        </w:rPr>
        <w:t xml:space="preserve"> </w:t>
      </w:r>
      <w:r w:rsidR="006A5C76" w:rsidRPr="006607A3">
        <w:rPr>
          <w:rFonts w:asciiTheme="majorHAnsi" w:hAnsiTheme="majorHAnsi"/>
          <w:i/>
          <w:u w:val="single"/>
        </w:rPr>
        <w:t xml:space="preserve">de eerste helft van het </w:t>
      </w:r>
      <w:r w:rsidRPr="006607A3">
        <w:rPr>
          <w:rFonts w:asciiTheme="majorHAnsi" w:hAnsiTheme="majorHAnsi"/>
          <w:i/>
          <w:u w:val="single"/>
        </w:rPr>
        <w:t>schooljaar</w:t>
      </w:r>
      <w:r>
        <w:rPr>
          <w:rFonts w:asciiTheme="majorHAnsi" w:hAnsiTheme="majorHAnsi"/>
        </w:rPr>
        <w:t xml:space="preserve"> </w:t>
      </w:r>
      <w:r w:rsidR="006A5C76">
        <w:rPr>
          <w:rFonts w:asciiTheme="majorHAnsi" w:hAnsiTheme="majorHAnsi"/>
        </w:rPr>
        <w:t>2019-2020</w:t>
      </w:r>
      <w:r>
        <w:rPr>
          <w:rFonts w:asciiTheme="majorHAnsi" w:hAnsiTheme="majorHAnsi"/>
        </w:rPr>
        <w:t>.</w:t>
      </w:r>
      <w:r w:rsidR="006A5C76">
        <w:rPr>
          <w:rFonts w:asciiTheme="majorHAnsi" w:hAnsiTheme="majorHAnsi"/>
        </w:rPr>
        <w:t xml:space="preserve"> De tweede helft van het schooljaar zijn er geen CITO afnames geweest in verband met de langere periode van thuisonderwijs als gevolg van de coronacrisis.</w:t>
      </w:r>
    </w:p>
    <w:tbl>
      <w:tblPr>
        <w:tblStyle w:val="Rastertabel4-Accent5"/>
        <w:tblW w:w="0" w:type="auto"/>
        <w:tblInd w:w="-552" w:type="dxa"/>
        <w:tblLook w:val="04A0" w:firstRow="1" w:lastRow="0" w:firstColumn="1" w:lastColumn="0" w:noHBand="0" w:noVBand="1"/>
      </w:tblPr>
      <w:tblGrid>
        <w:gridCol w:w="1761"/>
        <w:gridCol w:w="1977"/>
        <w:gridCol w:w="1929"/>
        <w:gridCol w:w="1950"/>
        <w:gridCol w:w="1997"/>
      </w:tblGrid>
      <w:tr w:rsidR="000E0012" w14:paraId="7F10BFFB" w14:textId="77777777" w:rsidTr="000E0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0B02BB87" w14:textId="77777777" w:rsidR="000E0012" w:rsidRDefault="000E0012" w:rsidP="00FE689F">
            <w:pPr>
              <w:rPr>
                <w:rFonts w:asciiTheme="majorHAnsi" w:hAnsiTheme="majorHAnsi"/>
              </w:rPr>
            </w:pPr>
          </w:p>
        </w:tc>
        <w:tc>
          <w:tcPr>
            <w:tcW w:w="1977" w:type="dxa"/>
          </w:tcPr>
          <w:p w14:paraId="02E0E517" w14:textId="77777777" w:rsidR="000E0012" w:rsidRDefault="000E0012" w:rsidP="00FE689F">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Technisch lezen</w:t>
            </w:r>
          </w:p>
        </w:tc>
        <w:tc>
          <w:tcPr>
            <w:tcW w:w="1929" w:type="dxa"/>
          </w:tcPr>
          <w:p w14:paraId="08C15BEE" w14:textId="77777777" w:rsidR="000E0012" w:rsidRDefault="000E0012" w:rsidP="00FE689F">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Spelling</w:t>
            </w:r>
          </w:p>
        </w:tc>
        <w:tc>
          <w:tcPr>
            <w:tcW w:w="1950" w:type="dxa"/>
          </w:tcPr>
          <w:p w14:paraId="7CF07241" w14:textId="77777777" w:rsidR="000E0012" w:rsidRDefault="000E0012" w:rsidP="00FE689F">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Rekenen</w:t>
            </w:r>
          </w:p>
        </w:tc>
        <w:tc>
          <w:tcPr>
            <w:tcW w:w="1997" w:type="dxa"/>
          </w:tcPr>
          <w:p w14:paraId="2F5C32AC" w14:textId="77777777" w:rsidR="000E0012" w:rsidRDefault="000E0012" w:rsidP="00FE689F">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Begrijpend lezen</w:t>
            </w:r>
          </w:p>
        </w:tc>
      </w:tr>
      <w:tr w:rsidR="000E0012" w14:paraId="20C9A50A" w14:textId="77777777" w:rsidTr="000E0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40A1F5AC" w14:textId="77777777" w:rsidR="000E0012" w:rsidRPr="007F6F61" w:rsidRDefault="000E0012" w:rsidP="00FE689F">
            <w:pPr>
              <w:rPr>
                <w:rFonts w:asciiTheme="majorHAnsi" w:hAnsiTheme="majorHAnsi"/>
              </w:rPr>
            </w:pPr>
          </w:p>
        </w:tc>
        <w:tc>
          <w:tcPr>
            <w:tcW w:w="1977" w:type="dxa"/>
          </w:tcPr>
          <w:p w14:paraId="205A9A22" w14:textId="77777777" w:rsidR="000E0012" w:rsidRPr="007F6F61" w:rsidRDefault="000E0012" w:rsidP="00FE689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F6F61">
              <w:rPr>
                <w:rFonts w:asciiTheme="majorHAnsi" w:hAnsiTheme="majorHAnsi"/>
              </w:rPr>
              <w:t>AVI</w:t>
            </w:r>
          </w:p>
        </w:tc>
        <w:tc>
          <w:tcPr>
            <w:tcW w:w="1929" w:type="dxa"/>
          </w:tcPr>
          <w:p w14:paraId="4ED7CB3D" w14:textId="77777777" w:rsidR="000E0012" w:rsidRPr="007F6F61" w:rsidRDefault="000E0012" w:rsidP="00FE689F">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7F6F61">
              <w:rPr>
                <w:rFonts w:asciiTheme="majorHAnsi" w:hAnsiTheme="majorHAnsi"/>
                <w:b/>
              </w:rPr>
              <w:t>CITO</w:t>
            </w:r>
          </w:p>
        </w:tc>
        <w:tc>
          <w:tcPr>
            <w:tcW w:w="1950" w:type="dxa"/>
          </w:tcPr>
          <w:p w14:paraId="479CC88A" w14:textId="77777777" w:rsidR="000E0012" w:rsidRPr="007F6F61" w:rsidRDefault="000E0012" w:rsidP="00FE689F">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CI</w:t>
            </w:r>
            <w:r w:rsidRPr="007F6F61">
              <w:rPr>
                <w:rFonts w:asciiTheme="majorHAnsi" w:hAnsiTheme="majorHAnsi"/>
                <w:b/>
              </w:rPr>
              <w:t>TO</w:t>
            </w:r>
          </w:p>
        </w:tc>
        <w:tc>
          <w:tcPr>
            <w:tcW w:w="1997" w:type="dxa"/>
          </w:tcPr>
          <w:p w14:paraId="64C626C1" w14:textId="77777777" w:rsidR="000E0012" w:rsidRPr="007F6F61" w:rsidRDefault="000E0012" w:rsidP="00FE689F">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7F6F61">
              <w:rPr>
                <w:rFonts w:asciiTheme="majorHAnsi" w:hAnsiTheme="majorHAnsi"/>
                <w:b/>
              </w:rPr>
              <w:t>CITO</w:t>
            </w:r>
          </w:p>
        </w:tc>
      </w:tr>
      <w:tr w:rsidR="000E0012" w14:paraId="17442E7F" w14:textId="77777777" w:rsidTr="000E0012">
        <w:tc>
          <w:tcPr>
            <w:cnfStyle w:val="001000000000" w:firstRow="0" w:lastRow="0" w:firstColumn="1" w:lastColumn="0" w:oddVBand="0" w:evenVBand="0" w:oddHBand="0" w:evenHBand="0" w:firstRowFirstColumn="0" w:firstRowLastColumn="0" w:lastRowFirstColumn="0" w:lastRowLastColumn="0"/>
            <w:tcW w:w="1761" w:type="dxa"/>
          </w:tcPr>
          <w:p w14:paraId="72CD2BD3" w14:textId="77777777" w:rsidR="000E0012" w:rsidRDefault="000E0012" w:rsidP="00FE689F">
            <w:pPr>
              <w:rPr>
                <w:rFonts w:asciiTheme="majorHAnsi" w:hAnsiTheme="majorHAnsi"/>
                <w:b w:val="0"/>
              </w:rPr>
            </w:pPr>
            <w:r>
              <w:rPr>
                <w:rFonts w:asciiTheme="majorHAnsi" w:hAnsiTheme="majorHAnsi"/>
                <w:b w:val="0"/>
              </w:rPr>
              <w:t>2018-2019</w:t>
            </w:r>
          </w:p>
        </w:tc>
        <w:tc>
          <w:tcPr>
            <w:tcW w:w="1977" w:type="dxa"/>
          </w:tcPr>
          <w:p w14:paraId="44172A86" w14:textId="77777777" w:rsidR="000E0012" w:rsidRPr="000E0012" w:rsidRDefault="000E0012" w:rsidP="00FE68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E0012">
              <w:rPr>
                <w:rFonts w:asciiTheme="majorHAnsi" w:hAnsiTheme="majorHAnsi"/>
              </w:rPr>
              <w:t>95%</w:t>
            </w:r>
          </w:p>
        </w:tc>
        <w:tc>
          <w:tcPr>
            <w:tcW w:w="1929" w:type="dxa"/>
          </w:tcPr>
          <w:p w14:paraId="47C72DAC" w14:textId="77777777" w:rsidR="000E0012" w:rsidRDefault="000E0012" w:rsidP="00FE68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72%</w:t>
            </w:r>
          </w:p>
        </w:tc>
        <w:tc>
          <w:tcPr>
            <w:tcW w:w="1950" w:type="dxa"/>
          </w:tcPr>
          <w:p w14:paraId="3F2FF4E7" w14:textId="77777777" w:rsidR="000E0012" w:rsidRDefault="000E0012" w:rsidP="00FE68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67%</w:t>
            </w:r>
          </w:p>
        </w:tc>
        <w:tc>
          <w:tcPr>
            <w:tcW w:w="1997" w:type="dxa"/>
          </w:tcPr>
          <w:p w14:paraId="2DD31E75" w14:textId="77777777" w:rsidR="000E0012" w:rsidRDefault="000E0012" w:rsidP="00FE68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50%</w:t>
            </w:r>
          </w:p>
        </w:tc>
      </w:tr>
      <w:tr w:rsidR="000E0012" w14:paraId="430C634B" w14:textId="77777777" w:rsidTr="000E0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2DB87642" w14:textId="77777777" w:rsidR="000E0012" w:rsidRDefault="000E0012" w:rsidP="00FE689F">
            <w:pPr>
              <w:rPr>
                <w:rFonts w:asciiTheme="majorHAnsi" w:hAnsiTheme="majorHAnsi"/>
                <w:b w:val="0"/>
              </w:rPr>
            </w:pPr>
            <w:r>
              <w:rPr>
                <w:rFonts w:asciiTheme="majorHAnsi" w:hAnsiTheme="majorHAnsi"/>
                <w:b w:val="0"/>
              </w:rPr>
              <w:t>2019-2020</w:t>
            </w:r>
          </w:p>
        </w:tc>
        <w:tc>
          <w:tcPr>
            <w:tcW w:w="1977" w:type="dxa"/>
          </w:tcPr>
          <w:p w14:paraId="189D9DB1" w14:textId="77777777" w:rsidR="000E0012" w:rsidRPr="000E0012" w:rsidRDefault="000E0012" w:rsidP="00FE689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E0012">
              <w:rPr>
                <w:rFonts w:asciiTheme="majorHAnsi" w:hAnsiTheme="majorHAnsi"/>
              </w:rPr>
              <w:t>89%</w:t>
            </w:r>
          </w:p>
        </w:tc>
        <w:tc>
          <w:tcPr>
            <w:tcW w:w="1929" w:type="dxa"/>
          </w:tcPr>
          <w:p w14:paraId="71B74F5D" w14:textId="77777777" w:rsidR="000E0012" w:rsidRDefault="008310BD" w:rsidP="00FE689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50</w:t>
            </w:r>
            <w:r w:rsidR="006607A3">
              <w:rPr>
                <w:rFonts w:asciiTheme="majorHAnsi" w:hAnsiTheme="majorHAnsi"/>
              </w:rPr>
              <w:t>%</w:t>
            </w:r>
          </w:p>
        </w:tc>
        <w:tc>
          <w:tcPr>
            <w:tcW w:w="1950" w:type="dxa"/>
          </w:tcPr>
          <w:p w14:paraId="206C883E" w14:textId="77777777" w:rsidR="000E0012" w:rsidRDefault="006607A3" w:rsidP="00FE689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82%</w:t>
            </w:r>
          </w:p>
        </w:tc>
        <w:tc>
          <w:tcPr>
            <w:tcW w:w="1997" w:type="dxa"/>
          </w:tcPr>
          <w:p w14:paraId="7EB363E6" w14:textId="77777777" w:rsidR="000E0012" w:rsidRDefault="006607A3" w:rsidP="00FE689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41%</w:t>
            </w:r>
          </w:p>
        </w:tc>
      </w:tr>
      <w:tr w:rsidR="004B7423" w14:paraId="7637275E" w14:textId="77777777" w:rsidTr="000E0012">
        <w:tc>
          <w:tcPr>
            <w:cnfStyle w:val="001000000000" w:firstRow="0" w:lastRow="0" w:firstColumn="1" w:lastColumn="0" w:oddVBand="0" w:evenVBand="0" w:oddHBand="0" w:evenHBand="0" w:firstRowFirstColumn="0" w:firstRowLastColumn="0" w:lastRowFirstColumn="0" w:lastRowLastColumn="0"/>
            <w:tcW w:w="1761" w:type="dxa"/>
          </w:tcPr>
          <w:p w14:paraId="4D4A0E16" w14:textId="77777777" w:rsidR="004B7423" w:rsidRPr="004577E3" w:rsidRDefault="004B7423" w:rsidP="00FE689F">
            <w:pPr>
              <w:rPr>
                <w:rFonts w:asciiTheme="majorHAnsi" w:hAnsiTheme="majorHAnsi"/>
                <w:b w:val="0"/>
              </w:rPr>
            </w:pPr>
            <w:r w:rsidRPr="004577E3">
              <w:rPr>
                <w:rFonts w:asciiTheme="majorHAnsi" w:hAnsiTheme="majorHAnsi"/>
                <w:b w:val="0"/>
              </w:rPr>
              <w:t>2020-2021</w:t>
            </w:r>
          </w:p>
        </w:tc>
        <w:tc>
          <w:tcPr>
            <w:tcW w:w="1977" w:type="dxa"/>
          </w:tcPr>
          <w:p w14:paraId="2D0B33AA" w14:textId="77777777" w:rsidR="004B7423" w:rsidRPr="000E0012" w:rsidRDefault="004B7423" w:rsidP="00FE68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90%</w:t>
            </w:r>
          </w:p>
        </w:tc>
        <w:tc>
          <w:tcPr>
            <w:tcW w:w="1929" w:type="dxa"/>
          </w:tcPr>
          <w:p w14:paraId="21C9DA26" w14:textId="77777777" w:rsidR="004B7423" w:rsidRDefault="004B7423" w:rsidP="00FE68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74%</w:t>
            </w:r>
          </w:p>
        </w:tc>
        <w:tc>
          <w:tcPr>
            <w:tcW w:w="1950" w:type="dxa"/>
          </w:tcPr>
          <w:p w14:paraId="57C2B207" w14:textId="77777777" w:rsidR="004B7423" w:rsidRDefault="004B7423" w:rsidP="00FE68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84%</w:t>
            </w:r>
          </w:p>
        </w:tc>
        <w:tc>
          <w:tcPr>
            <w:tcW w:w="1997" w:type="dxa"/>
          </w:tcPr>
          <w:p w14:paraId="6334A8A8" w14:textId="77777777" w:rsidR="004B7423" w:rsidRDefault="004B7423" w:rsidP="00FE68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65%</w:t>
            </w:r>
          </w:p>
        </w:tc>
      </w:tr>
      <w:tr w:rsidR="004577E3" w14:paraId="1F45F5E7" w14:textId="77777777" w:rsidTr="000E0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3CEE4865" w14:textId="77777777" w:rsidR="004577E3" w:rsidRPr="00EA3820" w:rsidRDefault="004577E3" w:rsidP="00FE689F">
            <w:pPr>
              <w:rPr>
                <w:rFonts w:asciiTheme="majorHAnsi" w:hAnsiTheme="majorHAnsi"/>
                <w:b w:val="0"/>
              </w:rPr>
            </w:pPr>
            <w:r w:rsidRPr="00EA3820">
              <w:rPr>
                <w:rFonts w:asciiTheme="majorHAnsi" w:hAnsiTheme="majorHAnsi"/>
                <w:b w:val="0"/>
              </w:rPr>
              <w:t>2021-2022</w:t>
            </w:r>
          </w:p>
        </w:tc>
        <w:tc>
          <w:tcPr>
            <w:tcW w:w="1977" w:type="dxa"/>
          </w:tcPr>
          <w:p w14:paraId="1C5C1F4A" w14:textId="77777777" w:rsidR="004577E3" w:rsidRDefault="004577E3" w:rsidP="00FE689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96%</w:t>
            </w:r>
          </w:p>
        </w:tc>
        <w:tc>
          <w:tcPr>
            <w:tcW w:w="1929" w:type="dxa"/>
          </w:tcPr>
          <w:p w14:paraId="15291022" w14:textId="77777777" w:rsidR="004577E3" w:rsidRDefault="00B05E67" w:rsidP="00FE689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63%</w:t>
            </w:r>
          </w:p>
        </w:tc>
        <w:tc>
          <w:tcPr>
            <w:tcW w:w="1950" w:type="dxa"/>
          </w:tcPr>
          <w:p w14:paraId="635CAF4F" w14:textId="77777777" w:rsidR="004577E3" w:rsidRDefault="00B05E67" w:rsidP="00FE689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63%</w:t>
            </w:r>
          </w:p>
        </w:tc>
        <w:tc>
          <w:tcPr>
            <w:tcW w:w="1997" w:type="dxa"/>
          </w:tcPr>
          <w:p w14:paraId="75BE440F" w14:textId="77777777" w:rsidR="004577E3" w:rsidRDefault="004577E3" w:rsidP="00FE689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79%</w:t>
            </w:r>
          </w:p>
        </w:tc>
      </w:tr>
      <w:tr w:rsidR="00EA3820" w14:paraId="6E00EF76" w14:textId="77777777" w:rsidTr="000E0012">
        <w:tc>
          <w:tcPr>
            <w:cnfStyle w:val="001000000000" w:firstRow="0" w:lastRow="0" w:firstColumn="1" w:lastColumn="0" w:oddVBand="0" w:evenVBand="0" w:oddHBand="0" w:evenHBand="0" w:firstRowFirstColumn="0" w:firstRowLastColumn="0" w:lastRowFirstColumn="0" w:lastRowLastColumn="0"/>
            <w:tcW w:w="1761" w:type="dxa"/>
          </w:tcPr>
          <w:p w14:paraId="7D15CB8D" w14:textId="540EB358" w:rsidR="00EA3820" w:rsidRDefault="00EA3820" w:rsidP="00FE689F">
            <w:pPr>
              <w:rPr>
                <w:rFonts w:asciiTheme="majorHAnsi" w:hAnsiTheme="majorHAnsi"/>
              </w:rPr>
            </w:pPr>
            <w:r>
              <w:rPr>
                <w:rFonts w:asciiTheme="majorHAnsi" w:hAnsiTheme="majorHAnsi"/>
              </w:rPr>
              <w:t>2022-2023</w:t>
            </w:r>
          </w:p>
        </w:tc>
        <w:tc>
          <w:tcPr>
            <w:tcW w:w="1977" w:type="dxa"/>
          </w:tcPr>
          <w:p w14:paraId="482ED93B" w14:textId="08CDF8BB" w:rsidR="00EA3820" w:rsidRDefault="00EA3820" w:rsidP="00FE68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82%</w:t>
            </w:r>
          </w:p>
        </w:tc>
        <w:tc>
          <w:tcPr>
            <w:tcW w:w="1929" w:type="dxa"/>
          </w:tcPr>
          <w:p w14:paraId="485093C2" w14:textId="182F7441" w:rsidR="00EA3820" w:rsidRDefault="00EA3820" w:rsidP="00FE68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86%</w:t>
            </w:r>
          </w:p>
        </w:tc>
        <w:tc>
          <w:tcPr>
            <w:tcW w:w="1950" w:type="dxa"/>
          </w:tcPr>
          <w:p w14:paraId="564165D2" w14:textId="302A0B67" w:rsidR="00EA3820" w:rsidRDefault="00EA3820" w:rsidP="00FE68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86%</w:t>
            </w:r>
          </w:p>
        </w:tc>
        <w:tc>
          <w:tcPr>
            <w:tcW w:w="1997" w:type="dxa"/>
          </w:tcPr>
          <w:p w14:paraId="25EC1C28" w14:textId="3E338ADD" w:rsidR="00EA3820" w:rsidRDefault="00EA3820" w:rsidP="00FE68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82%</w:t>
            </w:r>
          </w:p>
        </w:tc>
      </w:tr>
    </w:tbl>
    <w:p w14:paraId="59F75B89" w14:textId="77777777" w:rsidR="005C6EF1" w:rsidRDefault="005C6EF1">
      <w:pPr>
        <w:rPr>
          <w:rFonts w:asciiTheme="majorHAnsi" w:hAnsiTheme="majorHAnsi"/>
        </w:rPr>
      </w:pPr>
    </w:p>
    <w:p w14:paraId="10C245D7" w14:textId="1DFFBFE4" w:rsidR="00B05E67" w:rsidRPr="00B05E67" w:rsidRDefault="00BD1AAD">
      <w:pPr>
        <w:rPr>
          <w:rFonts w:asciiTheme="majorHAnsi" w:hAnsiTheme="majorHAnsi"/>
          <w:i/>
        </w:rPr>
      </w:pPr>
      <w:r>
        <w:rPr>
          <w:rFonts w:asciiTheme="majorHAnsi" w:hAnsiTheme="majorHAnsi"/>
        </w:rPr>
        <w:t>Opmerking:</w:t>
      </w:r>
      <w:r>
        <w:rPr>
          <w:rFonts w:asciiTheme="majorHAnsi" w:hAnsiTheme="majorHAnsi"/>
          <w:i/>
        </w:rPr>
        <w:t xml:space="preserve"> </w:t>
      </w:r>
      <w:r w:rsidR="005C6EF1">
        <w:rPr>
          <w:rFonts w:asciiTheme="majorHAnsi" w:hAnsiTheme="majorHAnsi"/>
          <w:i/>
        </w:rPr>
        <w:t>Het s</w:t>
      </w:r>
      <w:r w:rsidR="004B7423">
        <w:rPr>
          <w:rFonts w:asciiTheme="majorHAnsi" w:hAnsiTheme="majorHAnsi"/>
          <w:i/>
        </w:rPr>
        <w:t>treefdoel is dat 80% van de leerlingen in groep 6 t/m 8 hun OPP behalen</w:t>
      </w:r>
      <w:r w:rsidR="004B7423" w:rsidRPr="004577E3">
        <w:rPr>
          <w:rFonts w:asciiTheme="majorHAnsi" w:hAnsiTheme="majorHAnsi"/>
          <w:i/>
        </w:rPr>
        <w:t xml:space="preserve">. Voor </w:t>
      </w:r>
      <w:r w:rsidR="00EA3820">
        <w:rPr>
          <w:rFonts w:asciiTheme="majorHAnsi" w:hAnsiTheme="majorHAnsi"/>
          <w:i/>
        </w:rPr>
        <w:t xml:space="preserve">alle hoofdvakken is dat gelukt. Daar zijn we heel blij mee. Het </w:t>
      </w:r>
      <w:r w:rsidR="004577E3" w:rsidRPr="004577E3">
        <w:rPr>
          <w:rFonts w:asciiTheme="majorHAnsi" w:hAnsiTheme="majorHAnsi"/>
          <w:i/>
        </w:rPr>
        <w:t>laat zien dat de</w:t>
      </w:r>
      <w:r w:rsidR="004577E3">
        <w:rPr>
          <w:rFonts w:asciiTheme="majorHAnsi" w:hAnsiTheme="majorHAnsi"/>
          <w:i/>
        </w:rPr>
        <w:t xml:space="preserve"> nascholing en inzet van de leerkrachten zijn vruchten heeft afgeworpen. We werken naar bestendiging toe in de komende jaren. </w:t>
      </w:r>
    </w:p>
    <w:p w14:paraId="352BE4AD" w14:textId="77777777" w:rsidR="00766C42" w:rsidRDefault="00766C42" w:rsidP="00725EB6">
      <w:pPr>
        <w:pStyle w:val="Kop2"/>
      </w:pPr>
      <w:bookmarkStart w:id="0" w:name="_GoBack"/>
      <w:bookmarkEnd w:id="0"/>
      <w:r w:rsidRPr="00D15840">
        <w:t>Gegevens uitstroom leerlingen</w:t>
      </w:r>
      <w:r w:rsidR="003C46BB">
        <w:t xml:space="preserve"> </w:t>
      </w:r>
    </w:p>
    <w:p w14:paraId="6FF0873D" w14:textId="66D84052" w:rsidR="005C7416" w:rsidRDefault="00EA3820">
      <w:r w:rsidRPr="005A0FB0">
        <w:rPr>
          <w:noProof/>
        </w:rPr>
        <w:drawing>
          <wp:anchor distT="0" distB="0" distL="114300" distR="114300" simplePos="0" relativeHeight="251663360" behindDoc="1" locked="0" layoutInCell="1" allowOverlap="1" wp14:anchorId="0A37DE80" wp14:editId="1128752A">
            <wp:simplePos x="0" y="0"/>
            <wp:positionH relativeFrom="margin">
              <wp:align>center</wp:align>
            </wp:positionH>
            <wp:positionV relativeFrom="paragraph">
              <wp:posOffset>241494</wp:posOffset>
            </wp:positionV>
            <wp:extent cx="5760720" cy="2056556"/>
            <wp:effectExtent l="0" t="0" r="0" b="1270"/>
            <wp:wrapTight wrapText="bothSides">
              <wp:wrapPolygon edited="0">
                <wp:start x="0" y="0"/>
                <wp:lineTo x="0" y="21413"/>
                <wp:lineTo x="20143" y="21413"/>
                <wp:lineTo x="21286" y="21213"/>
                <wp:lineTo x="21500" y="20813"/>
                <wp:lineTo x="21500" y="0"/>
                <wp:lineTo x="0" y="0"/>
              </wp:wrapPolygon>
            </wp:wrapTight>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056556"/>
                    </a:xfrm>
                    <a:prstGeom prst="rect">
                      <a:avLst/>
                    </a:prstGeom>
                    <a:noFill/>
                    <a:ln>
                      <a:noFill/>
                    </a:ln>
                  </pic:spPr>
                </pic:pic>
              </a:graphicData>
            </a:graphic>
          </wp:anchor>
        </w:drawing>
      </w:r>
      <w:r w:rsidR="00D15840" w:rsidRPr="00D15840">
        <w:t>De</w:t>
      </w:r>
      <w:r w:rsidR="00D15840">
        <w:t xml:space="preserve"> uitstroom van de leerlingen van de achterliggende </w:t>
      </w:r>
      <w:r w:rsidR="005C6EF1">
        <w:t>zeven</w:t>
      </w:r>
      <w:r w:rsidR="00D15840">
        <w:t xml:space="preserve"> jaren is als volgt:</w:t>
      </w:r>
    </w:p>
    <w:p w14:paraId="7981352B" w14:textId="3954371D" w:rsidR="004B7423" w:rsidRDefault="004B7423"/>
    <w:p w14:paraId="25F2C44D" w14:textId="2E372460" w:rsidR="00A411A9" w:rsidRPr="004B789F" w:rsidRDefault="00EA3820" w:rsidP="00A411A9">
      <w:pPr>
        <w:rPr>
          <w:rFonts w:asciiTheme="majorHAnsi" w:hAnsiTheme="majorHAnsi"/>
          <w:i/>
          <w:color w:val="FF0000"/>
        </w:rPr>
      </w:pPr>
      <w:r>
        <w:rPr>
          <w:noProof/>
        </w:rPr>
        <w:lastRenderedPageBreak/>
        <w:drawing>
          <wp:anchor distT="0" distB="0" distL="114300" distR="114300" simplePos="0" relativeHeight="251664384" behindDoc="1" locked="0" layoutInCell="1" allowOverlap="1" wp14:anchorId="701561FF" wp14:editId="5799D068">
            <wp:simplePos x="0" y="0"/>
            <wp:positionH relativeFrom="column">
              <wp:posOffset>-1298</wp:posOffset>
            </wp:positionH>
            <wp:positionV relativeFrom="paragraph">
              <wp:posOffset>2043</wp:posOffset>
            </wp:positionV>
            <wp:extent cx="5760720" cy="1906953"/>
            <wp:effectExtent l="0" t="0" r="11430" b="17145"/>
            <wp:wrapTight wrapText="bothSides">
              <wp:wrapPolygon edited="0">
                <wp:start x="0" y="0"/>
                <wp:lineTo x="0" y="21578"/>
                <wp:lineTo x="21571" y="21578"/>
                <wp:lineTo x="21571" y="0"/>
                <wp:lineTo x="0" y="0"/>
              </wp:wrapPolygon>
            </wp:wrapTight>
            <wp:docPr id="1" name="Grafiek 1">
              <a:extLst xmlns:a="http://schemas.openxmlformats.org/drawingml/2006/main">
                <a:ext uri="{FF2B5EF4-FFF2-40B4-BE49-F238E27FC236}">
                  <a16:creationId xmlns:a16="http://schemas.microsoft.com/office/drawing/2014/main" id="{E910E52E-C91D-430B-BEFA-D0EA481D5D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A411A9">
        <w:t xml:space="preserve">Opmerking: </w:t>
      </w:r>
      <w:r w:rsidR="00A411A9" w:rsidRPr="006E0817">
        <w:rPr>
          <w:rFonts w:asciiTheme="majorHAnsi" w:hAnsiTheme="majorHAnsi"/>
          <w:i/>
        </w:rPr>
        <w:t>De uitstroom</w:t>
      </w:r>
      <w:r w:rsidR="00A411A9">
        <w:rPr>
          <w:rFonts w:asciiTheme="majorHAnsi" w:hAnsiTheme="majorHAnsi"/>
          <w:i/>
        </w:rPr>
        <w:t xml:space="preserve"> van de voorgaande jaren</w:t>
      </w:r>
      <w:r w:rsidR="00A411A9" w:rsidRPr="006E0817">
        <w:rPr>
          <w:rFonts w:asciiTheme="majorHAnsi" w:hAnsiTheme="majorHAnsi"/>
          <w:i/>
        </w:rPr>
        <w:t xml:space="preserve"> laat zien </w:t>
      </w:r>
      <w:r w:rsidR="005B5F8E">
        <w:rPr>
          <w:rFonts w:asciiTheme="majorHAnsi" w:hAnsiTheme="majorHAnsi"/>
          <w:i/>
        </w:rPr>
        <w:t>dat het grootste gedeelte van onze leerlingen uitstroomt naar het VMBO. In vergelijking met het regulier onderwijs hebben we een lager uitstroomniveau. Door late verwijzingen van</w:t>
      </w:r>
      <w:r w:rsidR="0015237D">
        <w:rPr>
          <w:rFonts w:asciiTheme="majorHAnsi" w:hAnsiTheme="majorHAnsi"/>
          <w:i/>
        </w:rPr>
        <w:t xml:space="preserve"> </w:t>
      </w:r>
      <w:r w:rsidR="005B5F8E">
        <w:rPr>
          <w:rFonts w:asciiTheme="majorHAnsi" w:hAnsiTheme="majorHAnsi"/>
          <w:i/>
        </w:rPr>
        <w:t xml:space="preserve">leerlingen </w:t>
      </w:r>
      <w:r w:rsidR="0015237D">
        <w:rPr>
          <w:rFonts w:asciiTheme="majorHAnsi" w:hAnsiTheme="majorHAnsi"/>
          <w:i/>
        </w:rPr>
        <w:t xml:space="preserve">vanuit het regulier onderwijs </w:t>
      </w:r>
      <w:r w:rsidR="005B5F8E">
        <w:rPr>
          <w:rFonts w:asciiTheme="majorHAnsi" w:hAnsiTheme="majorHAnsi"/>
          <w:i/>
        </w:rPr>
        <w:t>en instabiliteit binnen Cluster 4</w:t>
      </w:r>
      <w:r w:rsidR="0015237D">
        <w:rPr>
          <w:rFonts w:asciiTheme="majorHAnsi" w:hAnsiTheme="majorHAnsi"/>
          <w:i/>
        </w:rPr>
        <w:t xml:space="preserve"> in de afgelopen</w:t>
      </w:r>
      <w:r w:rsidR="005B5F8E">
        <w:rPr>
          <w:rFonts w:asciiTheme="majorHAnsi" w:hAnsiTheme="majorHAnsi"/>
          <w:i/>
        </w:rPr>
        <w:t xml:space="preserve"> jaren</w:t>
      </w:r>
      <w:r w:rsidR="0015237D">
        <w:rPr>
          <w:rFonts w:asciiTheme="majorHAnsi" w:hAnsiTheme="majorHAnsi"/>
          <w:i/>
        </w:rPr>
        <w:t xml:space="preserve"> is dit te verklaren.</w:t>
      </w:r>
      <w:r w:rsidR="005B5F8E">
        <w:rPr>
          <w:rFonts w:asciiTheme="majorHAnsi" w:hAnsiTheme="majorHAnsi"/>
          <w:i/>
        </w:rPr>
        <w:t xml:space="preserve"> </w:t>
      </w:r>
    </w:p>
    <w:p w14:paraId="6D6196E9" w14:textId="7AF3CD51" w:rsidR="00D15840" w:rsidRPr="00D15840" w:rsidRDefault="00D15840" w:rsidP="00A411A9">
      <w:pPr>
        <w:rPr>
          <w:rFonts w:asciiTheme="majorHAnsi" w:hAnsiTheme="majorHAnsi"/>
        </w:rPr>
      </w:pPr>
      <w:r>
        <w:rPr>
          <w:rFonts w:asciiTheme="majorHAnsi" w:hAnsiTheme="majorHAnsi"/>
        </w:rPr>
        <w:t>Voor elke leerling wordt bij instroom een ontwikkelingsperspectief</w:t>
      </w:r>
      <w:r w:rsidR="001F2EC6">
        <w:rPr>
          <w:rFonts w:asciiTheme="majorHAnsi" w:hAnsiTheme="majorHAnsi"/>
        </w:rPr>
        <w:t>plan</w:t>
      </w:r>
      <w:r>
        <w:rPr>
          <w:rFonts w:asciiTheme="majorHAnsi" w:hAnsiTheme="majorHAnsi"/>
        </w:rPr>
        <w:t xml:space="preserve"> (met uitstroomverwachting) opgesteld. Indien nodig wordt dit ontwikkelingsperspectief</w:t>
      </w:r>
      <w:r w:rsidR="001F2EC6">
        <w:rPr>
          <w:rFonts w:asciiTheme="majorHAnsi" w:hAnsiTheme="majorHAnsi"/>
        </w:rPr>
        <w:t>plan</w:t>
      </w:r>
      <w:r>
        <w:rPr>
          <w:rFonts w:asciiTheme="majorHAnsi" w:hAnsiTheme="majorHAnsi"/>
        </w:rPr>
        <w:t xml:space="preserve"> bijgesteld. Onderstaande tabel laat de resultaten zien van de leerlingen die in 20</w:t>
      </w:r>
      <w:r w:rsidR="0073215F">
        <w:rPr>
          <w:rFonts w:asciiTheme="majorHAnsi" w:hAnsiTheme="majorHAnsi"/>
        </w:rPr>
        <w:t>2</w:t>
      </w:r>
      <w:r w:rsidR="00575D07">
        <w:rPr>
          <w:rFonts w:asciiTheme="majorHAnsi" w:hAnsiTheme="majorHAnsi"/>
        </w:rPr>
        <w:t>2</w:t>
      </w:r>
      <w:r>
        <w:rPr>
          <w:rFonts w:asciiTheme="majorHAnsi" w:hAnsiTheme="majorHAnsi"/>
        </w:rPr>
        <w:t xml:space="preserve"> zijn uitgestroomd.</w:t>
      </w:r>
    </w:p>
    <w:tbl>
      <w:tblPr>
        <w:tblStyle w:val="Rastertabel4-Accent5"/>
        <w:tblW w:w="0" w:type="auto"/>
        <w:tblLook w:val="04A0" w:firstRow="1" w:lastRow="0" w:firstColumn="1" w:lastColumn="0" w:noHBand="0" w:noVBand="1"/>
      </w:tblPr>
      <w:tblGrid>
        <w:gridCol w:w="5382"/>
        <w:gridCol w:w="1205"/>
        <w:gridCol w:w="1243"/>
      </w:tblGrid>
      <w:tr w:rsidR="0052121E" w:rsidRPr="00A411A9" w14:paraId="7091AFF8" w14:textId="77777777" w:rsidTr="00EA3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gridSpan w:val="3"/>
          </w:tcPr>
          <w:p w14:paraId="53E759C9" w14:textId="77777777" w:rsidR="0052121E" w:rsidRDefault="0052121E" w:rsidP="005C2CEE">
            <w:pPr>
              <w:rPr>
                <w:rFonts w:cstheme="minorHAnsi"/>
                <w:sz w:val="20"/>
                <w:szCs w:val="20"/>
              </w:rPr>
            </w:pPr>
            <w:r w:rsidRPr="00A411A9">
              <w:rPr>
                <w:rFonts w:eastAsia="Times New Roman" w:cstheme="minorHAnsi"/>
                <w:szCs w:val="20"/>
                <w:lang w:eastAsia="nl-NL"/>
              </w:rPr>
              <w:t>BEOORDELING OPBRENGST ONDERWIJS</w:t>
            </w:r>
            <w:r w:rsidRPr="00A411A9">
              <w:rPr>
                <w:rFonts w:cstheme="minorHAnsi"/>
                <w:sz w:val="20"/>
                <w:szCs w:val="20"/>
              </w:rPr>
              <w:t xml:space="preserve"> </w:t>
            </w:r>
          </w:p>
          <w:p w14:paraId="6D6C58A5" w14:textId="77777777" w:rsidR="0052121E" w:rsidRPr="00A411A9" w:rsidRDefault="0052121E" w:rsidP="005C2CEE">
            <w:pPr>
              <w:rPr>
                <w:rFonts w:cstheme="minorHAnsi"/>
                <w:b w:val="0"/>
                <w:sz w:val="20"/>
                <w:szCs w:val="20"/>
              </w:rPr>
            </w:pPr>
          </w:p>
        </w:tc>
      </w:tr>
      <w:tr w:rsidR="0052121E" w:rsidRPr="00D15840" w14:paraId="29BA46A7" w14:textId="77777777" w:rsidTr="00EA3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2018AB04" w14:textId="77777777" w:rsidR="0052121E" w:rsidRPr="00D15840" w:rsidRDefault="0052121E" w:rsidP="005C2CEE">
            <w:pPr>
              <w:tabs>
                <w:tab w:val="center" w:pos="4536"/>
                <w:tab w:val="right" w:pos="9072"/>
              </w:tabs>
              <w:rPr>
                <w:rFonts w:cstheme="minorHAnsi"/>
                <w:szCs w:val="20"/>
              </w:rPr>
            </w:pPr>
            <w:r w:rsidRPr="00D15840">
              <w:rPr>
                <w:rFonts w:cstheme="minorHAnsi"/>
                <w:szCs w:val="20"/>
              </w:rPr>
              <w:t>Uitstroom 20</w:t>
            </w:r>
            <w:r>
              <w:rPr>
                <w:rFonts w:cstheme="minorHAnsi"/>
                <w:szCs w:val="20"/>
              </w:rPr>
              <w:t>2</w:t>
            </w:r>
            <w:r w:rsidR="004577E3">
              <w:rPr>
                <w:rFonts w:cstheme="minorHAnsi"/>
                <w:szCs w:val="20"/>
              </w:rPr>
              <w:t>2</w:t>
            </w:r>
          </w:p>
        </w:tc>
        <w:tc>
          <w:tcPr>
            <w:tcW w:w="1205" w:type="dxa"/>
          </w:tcPr>
          <w:p w14:paraId="6D657DE9" w14:textId="77777777" w:rsidR="0052121E" w:rsidRPr="00D15840" w:rsidRDefault="0052121E" w:rsidP="005C2CEE">
            <w:pPr>
              <w:tabs>
                <w:tab w:val="center" w:pos="4536"/>
                <w:tab w:val="right" w:pos="9072"/>
              </w:tabs>
              <w:cnfStyle w:val="000000100000" w:firstRow="0" w:lastRow="0" w:firstColumn="0" w:lastColumn="0" w:oddVBand="0" w:evenVBand="0" w:oddHBand="1" w:evenHBand="0" w:firstRowFirstColumn="0" w:firstRowLastColumn="0" w:lastRowFirstColumn="0" w:lastRowLastColumn="0"/>
              <w:rPr>
                <w:rFonts w:cstheme="minorHAnsi"/>
                <w:b/>
                <w:szCs w:val="20"/>
              </w:rPr>
            </w:pPr>
            <w:r w:rsidRPr="00D15840">
              <w:rPr>
                <w:rFonts w:cstheme="minorHAnsi"/>
                <w:b/>
                <w:szCs w:val="20"/>
              </w:rPr>
              <w:t>Aantal leerlingen</w:t>
            </w:r>
          </w:p>
        </w:tc>
        <w:tc>
          <w:tcPr>
            <w:tcW w:w="1243" w:type="dxa"/>
          </w:tcPr>
          <w:p w14:paraId="699C3C18" w14:textId="77777777" w:rsidR="0052121E" w:rsidRPr="00D15840" w:rsidRDefault="0052121E" w:rsidP="005C2CEE">
            <w:pPr>
              <w:tabs>
                <w:tab w:val="center" w:pos="4536"/>
                <w:tab w:val="right" w:pos="9072"/>
              </w:tabs>
              <w:cnfStyle w:val="000000100000" w:firstRow="0" w:lastRow="0" w:firstColumn="0" w:lastColumn="0" w:oddVBand="0" w:evenVBand="0" w:oddHBand="1" w:evenHBand="0" w:firstRowFirstColumn="0" w:firstRowLastColumn="0" w:lastRowFirstColumn="0" w:lastRowLastColumn="0"/>
              <w:rPr>
                <w:rFonts w:cstheme="minorHAnsi"/>
                <w:b/>
                <w:szCs w:val="20"/>
              </w:rPr>
            </w:pPr>
            <w:r w:rsidRPr="00D15840">
              <w:rPr>
                <w:rFonts w:cstheme="minorHAnsi"/>
                <w:b/>
                <w:szCs w:val="20"/>
              </w:rPr>
              <w:t>Percentage</w:t>
            </w:r>
          </w:p>
        </w:tc>
      </w:tr>
      <w:tr w:rsidR="00EA3820" w:rsidRPr="00A411A9" w14:paraId="6DC7C64B" w14:textId="77777777" w:rsidTr="00EA3820">
        <w:trPr>
          <w:trHeight w:val="471"/>
        </w:trPr>
        <w:tc>
          <w:tcPr>
            <w:cnfStyle w:val="001000000000" w:firstRow="0" w:lastRow="0" w:firstColumn="1" w:lastColumn="0" w:oddVBand="0" w:evenVBand="0" w:oddHBand="0" w:evenHBand="0" w:firstRowFirstColumn="0" w:firstRowLastColumn="0" w:lastRowFirstColumn="0" w:lastRowLastColumn="0"/>
            <w:tcW w:w="5382" w:type="dxa"/>
          </w:tcPr>
          <w:p w14:paraId="6A3537A7" w14:textId="77777777" w:rsidR="00EA3820" w:rsidRPr="00D15840" w:rsidRDefault="00EA3820" w:rsidP="00EA3820">
            <w:pPr>
              <w:tabs>
                <w:tab w:val="center" w:pos="4536"/>
                <w:tab w:val="right" w:pos="9072"/>
              </w:tabs>
              <w:rPr>
                <w:rFonts w:cstheme="minorHAnsi"/>
                <w:szCs w:val="20"/>
              </w:rPr>
            </w:pPr>
            <w:r w:rsidRPr="00D15840">
              <w:rPr>
                <w:rFonts w:cstheme="minorHAnsi"/>
                <w:szCs w:val="20"/>
              </w:rPr>
              <w:t>(Oorspronkelijk) ontwikkelingsperspectief meer dan gehaald</w:t>
            </w:r>
          </w:p>
        </w:tc>
        <w:tc>
          <w:tcPr>
            <w:tcW w:w="1205" w:type="dxa"/>
          </w:tcPr>
          <w:p w14:paraId="16A4EA58" w14:textId="255F5573" w:rsidR="00EA3820" w:rsidRPr="00D15840" w:rsidRDefault="00EA3820" w:rsidP="00EA3820">
            <w:pPr>
              <w:tabs>
                <w:tab w:val="center" w:pos="4536"/>
                <w:tab w:val="right" w:pos="9072"/>
              </w:tabs>
              <w:cnfStyle w:val="000000000000" w:firstRow="0" w:lastRow="0" w:firstColumn="0" w:lastColumn="0" w:oddVBand="0" w:evenVBand="0" w:oddHBand="0" w:evenHBand="0" w:firstRowFirstColumn="0" w:firstRowLastColumn="0" w:lastRowFirstColumn="0" w:lastRowLastColumn="0"/>
              <w:rPr>
                <w:rFonts w:cstheme="minorHAnsi"/>
                <w:szCs w:val="20"/>
              </w:rPr>
            </w:pPr>
            <w:r>
              <w:rPr>
                <w:rFonts w:asciiTheme="majorHAnsi" w:hAnsiTheme="majorHAnsi" w:cstheme="majorHAnsi"/>
                <w:szCs w:val="20"/>
              </w:rPr>
              <w:t>4</w:t>
            </w:r>
          </w:p>
        </w:tc>
        <w:tc>
          <w:tcPr>
            <w:tcW w:w="1243" w:type="dxa"/>
          </w:tcPr>
          <w:p w14:paraId="4FBF024B" w14:textId="0D78035B" w:rsidR="00EA3820" w:rsidRPr="00D15840" w:rsidRDefault="00EA3820" w:rsidP="00EA3820">
            <w:pPr>
              <w:tabs>
                <w:tab w:val="center" w:pos="4536"/>
                <w:tab w:val="right" w:pos="9072"/>
              </w:tabs>
              <w:cnfStyle w:val="000000000000" w:firstRow="0" w:lastRow="0" w:firstColumn="0" w:lastColumn="0" w:oddVBand="0" w:evenVBand="0" w:oddHBand="0" w:evenHBand="0" w:firstRowFirstColumn="0" w:firstRowLastColumn="0" w:lastRowFirstColumn="0" w:lastRowLastColumn="0"/>
              <w:rPr>
                <w:rFonts w:cstheme="minorHAnsi"/>
                <w:szCs w:val="20"/>
              </w:rPr>
            </w:pPr>
            <w:r>
              <w:rPr>
                <w:rFonts w:asciiTheme="majorHAnsi" w:hAnsiTheme="majorHAnsi" w:cstheme="majorHAnsi"/>
                <w:szCs w:val="20"/>
              </w:rPr>
              <w:t>36%</w:t>
            </w:r>
          </w:p>
        </w:tc>
      </w:tr>
      <w:tr w:rsidR="00EA3820" w:rsidRPr="00A411A9" w14:paraId="05698A75" w14:textId="77777777" w:rsidTr="00EA382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382" w:type="dxa"/>
          </w:tcPr>
          <w:p w14:paraId="240F1D4A" w14:textId="77777777" w:rsidR="00EA3820" w:rsidRPr="00D15840" w:rsidRDefault="00EA3820" w:rsidP="00EA3820">
            <w:pPr>
              <w:tabs>
                <w:tab w:val="center" w:pos="4536"/>
                <w:tab w:val="right" w:pos="9072"/>
              </w:tabs>
              <w:rPr>
                <w:rFonts w:cstheme="minorHAnsi"/>
                <w:szCs w:val="20"/>
              </w:rPr>
            </w:pPr>
            <w:r w:rsidRPr="00D15840">
              <w:rPr>
                <w:rFonts w:cstheme="minorHAnsi"/>
                <w:szCs w:val="20"/>
              </w:rPr>
              <w:t>(Oorspronkelijk) ontwikkelingsperspectief gehaald</w:t>
            </w:r>
          </w:p>
        </w:tc>
        <w:tc>
          <w:tcPr>
            <w:tcW w:w="1205" w:type="dxa"/>
          </w:tcPr>
          <w:p w14:paraId="72E3650A" w14:textId="45ABC0AB" w:rsidR="00EA3820" w:rsidRPr="00D15840" w:rsidRDefault="00EA3820" w:rsidP="00EA3820">
            <w:pPr>
              <w:tabs>
                <w:tab w:val="center" w:pos="4536"/>
                <w:tab w:val="right" w:pos="9072"/>
              </w:tabs>
              <w:cnfStyle w:val="000000100000" w:firstRow="0" w:lastRow="0" w:firstColumn="0" w:lastColumn="0" w:oddVBand="0" w:evenVBand="0" w:oddHBand="1" w:evenHBand="0" w:firstRowFirstColumn="0" w:firstRowLastColumn="0" w:lastRowFirstColumn="0" w:lastRowLastColumn="0"/>
              <w:rPr>
                <w:rFonts w:cstheme="minorHAnsi"/>
                <w:szCs w:val="20"/>
              </w:rPr>
            </w:pPr>
            <w:r>
              <w:rPr>
                <w:rFonts w:asciiTheme="majorHAnsi" w:hAnsiTheme="majorHAnsi" w:cstheme="majorHAnsi"/>
                <w:szCs w:val="20"/>
              </w:rPr>
              <w:t>2</w:t>
            </w:r>
          </w:p>
        </w:tc>
        <w:tc>
          <w:tcPr>
            <w:tcW w:w="1243" w:type="dxa"/>
          </w:tcPr>
          <w:p w14:paraId="18A82393" w14:textId="6D9BF0F8" w:rsidR="00EA3820" w:rsidRPr="00D15840" w:rsidRDefault="00EA3820" w:rsidP="00EA3820">
            <w:pPr>
              <w:tabs>
                <w:tab w:val="center" w:pos="4536"/>
                <w:tab w:val="right" w:pos="9072"/>
              </w:tabs>
              <w:cnfStyle w:val="000000100000" w:firstRow="0" w:lastRow="0" w:firstColumn="0" w:lastColumn="0" w:oddVBand="0" w:evenVBand="0" w:oddHBand="1" w:evenHBand="0" w:firstRowFirstColumn="0" w:firstRowLastColumn="0" w:lastRowFirstColumn="0" w:lastRowLastColumn="0"/>
              <w:rPr>
                <w:rFonts w:cstheme="minorHAnsi"/>
                <w:szCs w:val="20"/>
              </w:rPr>
            </w:pPr>
            <w:r>
              <w:rPr>
                <w:rFonts w:asciiTheme="majorHAnsi" w:hAnsiTheme="majorHAnsi" w:cstheme="majorHAnsi"/>
                <w:szCs w:val="20"/>
              </w:rPr>
              <w:t>18%</w:t>
            </w:r>
          </w:p>
        </w:tc>
      </w:tr>
      <w:tr w:rsidR="00EA3820" w:rsidRPr="00A411A9" w14:paraId="3AEFBF6C" w14:textId="77777777" w:rsidTr="00EA3820">
        <w:trPr>
          <w:trHeight w:val="471"/>
        </w:trPr>
        <w:tc>
          <w:tcPr>
            <w:cnfStyle w:val="001000000000" w:firstRow="0" w:lastRow="0" w:firstColumn="1" w:lastColumn="0" w:oddVBand="0" w:evenVBand="0" w:oddHBand="0" w:evenHBand="0" w:firstRowFirstColumn="0" w:firstRowLastColumn="0" w:lastRowFirstColumn="0" w:lastRowLastColumn="0"/>
            <w:tcW w:w="5382" w:type="dxa"/>
          </w:tcPr>
          <w:p w14:paraId="3CF16BFE" w14:textId="77777777" w:rsidR="00EA3820" w:rsidRPr="00D15840" w:rsidRDefault="00EA3820" w:rsidP="00EA3820">
            <w:pPr>
              <w:tabs>
                <w:tab w:val="center" w:pos="4536"/>
                <w:tab w:val="right" w:pos="9072"/>
              </w:tabs>
              <w:rPr>
                <w:rFonts w:cstheme="minorHAnsi"/>
                <w:szCs w:val="20"/>
              </w:rPr>
            </w:pPr>
            <w:r w:rsidRPr="00D15840">
              <w:rPr>
                <w:rFonts w:cstheme="minorHAnsi"/>
                <w:szCs w:val="20"/>
              </w:rPr>
              <w:t xml:space="preserve">Totaal </w:t>
            </w:r>
          </w:p>
        </w:tc>
        <w:tc>
          <w:tcPr>
            <w:tcW w:w="1205" w:type="dxa"/>
          </w:tcPr>
          <w:p w14:paraId="14C8BFAD" w14:textId="2CA03934" w:rsidR="00EA3820" w:rsidRPr="00D15840" w:rsidRDefault="00EA3820" w:rsidP="00EA3820">
            <w:pPr>
              <w:tabs>
                <w:tab w:val="center" w:pos="4536"/>
                <w:tab w:val="right" w:pos="9072"/>
              </w:tabs>
              <w:cnfStyle w:val="000000000000" w:firstRow="0" w:lastRow="0" w:firstColumn="0" w:lastColumn="0" w:oddVBand="0" w:evenVBand="0" w:oddHBand="0" w:evenHBand="0" w:firstRowFirstColumn="0" w:firstRowLastColumn="0" w:lastRowFirstColumn="0" w:lastRowLastColumn="0"/>
              <w:rPr>
                <w:rFonts w:cstheme="minorHAnsi"/>
                <w:b/>
                <w:szCs w:val="20"/>
              </w:rPr>
            </w:pPr>
            <w:r>
              <w:rPr>
                <w:rFonts w:asciiTheme="majorHAnsi" w:hAnsiTheme="majorHAnsi" w:cstheme="majorHAnsi"/>
                <w:b/>
                <w:szCs w:val="20"/>
              </w:rPr>
              <w:t>6</w:t>
            </w:r>
          </w:p>
        </w:tc>
        <w:tc>
          <w:tcPr>
            <w:tcW w:w="1243" w:type="dxa"/>
          </w:tcPr>
          <w:p w14:paraId="746DFF80" w14:textId="5CD98CFE" w:rsidR="00EA3820" w:rsidRPr="00D15840" w:rsidRDefault="00EA3820" w:rsidP="00EA3820">
            <w:pPr>
              <w:tabs>
                <w:tab w:val="center" w:pos="4536"/>
                <w:tab w:val="right" w:pos="9072"/>
              </w:tabs>
              <w:cnfStyle w:val="000000000000" w:firstRow="0" w:lastRow="0" w:firstColumn="0" w:lastColumn="0" w:oddVBand="0" w:evenVBand="0" w:oddHBand="0" w:evenHBand="0" w:firstRowFirstColumn="0" w:firstRowLastColumn="0" w:lastRowFirstColumn="0" w:lastRowLastColumn="0"/>
              <w:rPr>
                <w:rFonts w:cstheme="minorHAnsi"/>
                <w:b/>
                <w:szCs w:val="20"/>
              </w:rPr>
            </w:pPr>
            <w:r>
              <w:rPr>
                <w:rFonts w:asciiTheme="majorHAnsi" w:hAnsiTheme="majorHAnsi" w:cstheme="majorHAnsi"/>
                <w:b/>
                <w:szCs w:val="20"/>
              </w:rPr>
              <w:t>54%</w:t>
            </w:r>
          </w:p>
        </w:tc>
      </w:tr>
      <w:tr w:rsidR="00EA3820" w:rsidRPr="00A411A9" w14:paraId="5DFCF8D1" w14:textId="77777777" w:rsidTr="00EA382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382" w:type="dxa"/>
          </w:tcPr>
          <w:p w14:paraId="1A8F57B2" w14:textId="77777777" w:rsidR="00EA3820" w:rsidRPr="00D15840" w:rsidRDefault="00EA3820" w:rsidP="00EA3820">
            <w:pPr>
              <w:tabs>
                <w:tab w:val="center" w:pos="4536"/>
                <w:tab w:val="right" w:pos="9072"/>
              </w:tabs>
              <w:rPr>
                <w:rFonts w:cstheme="minorHAnsi"/>
                <w:szCs w:val="20"/>
              </w:rPr>
            </w:pPr>
            <w:r w:rsidRPr="00D15840">
              <w:rPr>
                <w:rFonts w:cstheme="minorHAnsi"/>
                <w:szCs w:val="20"/>
              </w:rPr>
              <w:t>(Oorspronkelijk) ontwikkelingsperspectief niet gehaald</w:t>
            </w:r>
          </w:p>
        </w:tc>
        <w:tc>
          <w:tcPr>
            <w:tcW w:w="1205" w:type="dxa"/>
          </w:tcPr>
          <w:p w14:paraId="082409C1" w14:textId="044023A6" w:rsidR="00EA3820" w:rsidRPr="00D15840" w:rsidRDefault="00EA3820" w:rsidP="00EA3820">
            <w:pPr>
              <w:tabs>
                <w:tab w:val="center" w:pos="4536"/>
                <w:tab w:val="right" w:pos="9072"/>
              </w:tabs>
              <w:cnfStyle w:val="000000100000" w:firstRow="0" w:lastRow="0" w:firstColumn="0" w:lastColumn="0" w:oddVBand="0" w:evenVBand="0" w:oddHBand="1" w:evenHBand="0" w:firstRowFirstColumn="0" w:firstRowLastColumn="0" w:lastRowFirstColumn="0" w:lastRowLastColumn="0"/>
              <w:rPr>
                <w:rFonts w:cstheme="minorHAnsi"/>
                <w:szCs w:val="20"/>
              </w:rPr>
            </w:pPr>
            <w:r>
              <w:rPr>
                <w:rFonts w:asciiTheme="majorHAnsi" w:hAnsiTheme="majorHAnsi" w:cstheme="majorHAnsi"/>
                <w:szCs w:val="20"/>
              </w:rPr>
              <w:t>0</w:t>
            </w:r>
          </w:p>
        </w:tc>
        <w:tc>
          <w:tcPr>
            <w:tcW w:w="1243" w:type="dxa"/>
          </w:tcPr>
          <w:p w14:paraId="6996EC87" w14:textId="584E9268" w:rsidR="00EA3820" w:rsidRPr="00D15840" w:rsidRDefault="00EA3820" w:rsidP="00EA3820">
            <w:pPr>
              <w:tabs>
                <w:tab w:val="center" w:pos="4536"/>
                <w:tab w:val="right" w:pos="9072"/>
              </w:tabs>
              <w:cnfStyle w:val="000000100000" w:firstRow="0" w:lastRow="0" w:firstColumn="0" w:lastColumn="0" w:oddVBand="0" w:evenVBand="0" w:oddHBand="1" w:evenHBand="0" w:firstRowFirstColumn="0" w:firstRowLastColumn="0" w:lastRowFirstColumn="0" w:lastRowLastColumn="0"/>
              <w:rPr>
                <w:rFonts w:cstheme="minorHAnsi"/>
                <w:szCs w:val="20"/>
              </w:rPr>
            </w:pPr>
            <w:r>
              <w:rPr>
                <w:rFonts w:asciiTheme="majorHAnsi" w:hAnsiTheme="majorHAnsi" w:cstheme="majorHAnsi"/>
                <w:szCs w:val="20"/>
              </w:rPr>
              <w:t>0%</w:t>
            </w:r>
          </w:p>
        </w:tc>
      </w:tr>
      <w:tr w:rsidR="00EA3820" w:rsidRPr="00A411A9" w14:paraId="1DE62CE2" w14:textId="77777777" w:rsidTr="00EA3820">
        <w:trPr>
          <w:trHeight w:val="471"/>
        </w:trPr>
        <w:tc>
          <w:tcPr>
            <w:cnfStyle w:val="001000000000" w:firstRow="0" w:lastRow="0" w:firstColumn="1" w:lastColumn="0" w:oddVBand="0" w:evenVBand="0" w:oddHBand="0" w:evenHBand="0" w:firstRowFirstColumn="0" w:firstRowLastColumn="0" w:lastRowFirstColumn="0" w:lastRowLastColumn="0"/>
            <w:tcW w:w="5382" w:type="dxa"/>
          </w:tcPr>
          <w:p w14:paraId="4CE25AD8" w14:textId="77777777" w:rsidR="00EA3820" w:rsidRPr="00D15840" w:rsidRDefault="00EA3820" w:rsidP="00EA3820">
            <w:pPr>
              <w:tabs>
                <w:tab w:val="center" w:pos="4536"/>
                <w:tab w:val="right" w:pos="9072"/>
              </w:tabs>
              <w:rPr>
                <w:rFonts w:cstheme="minorHAnsi"/>
                <w:szCs w:val="20"/>
              </w:rPr>
            </w:pPr>
            <w:r>
              <w:rPr>
                <w:rFonts w:cstheme="minorHAnsi"/>
                <w:szCs w:val="20"/>
              </w:rPr>
              <w:t>(Bijgesteld) ontwikkelingsperspectief gehaald</w:t>
            </w:r>
          </w:p>
        </w:tc>
        <w:tc>
          <w:tcPr>
            <w:tcW w:w="1205" w:type="dxa"/>
          </w:tcPr>
          <w:p w14:paraId="22C3E00B" w14:textId="72A437F9" w:rsidR="00EA3820" w:rsidRPr="00D15840" w:rsidRDefault="00EA3820" w:rsidP="00EA3820">
            <w:pPr>
              <w:tabs>
                <w:tab w:val="center" w:pos="4536"/>
                <w:tab w:val="right" w:pos="9072"/>
              </w:tabs>
              <w:cnfStyle w:val="000000000000" w:firstRow="0" w:lastRow="0" w:firstColumn="0" w:lastColumn="0" w:oddVBand="0" w:evenVBand="0" w:oddHBand="0" w:evenHBand="0" w:firstRowFirstColumn="0" w:firstRowLastColumn="0" w:lastRowFirstColumn="0" w:lastRowLastColumn="0"/>
              <w:rPr>
                <w:rFonts w:cstheme="minorHAnsi"/>
                <w:szCs w:val="20"/>
              </w:rPr>
            </w:pPr>
            <w:r>
              <w:rPr>
                <w:rFonts w:asciiTheme="majorHAnsi" w:hAnsiTheme="majorHAnsi" w:cstheme="majorHAnsi"/>
                <w:szCs w:val="20"/>
              </w:rPr>
              <w:t>5</w:t>
            </w:r>
          </w:p>
        </w:tc>
        <w:tc>
          <w:tcPr>
            <w:tcW w:w="1243" w:type="dxa"/>
          </w:tcPr>
          <w:p w14:paraId="4F76DC17" w14:textId="3C89C78F" w:rsidR="00EA3820" w:rsidRPr="00D15840" w:rsidRDefault="00EA3820" w:rsidP="00EA3820">
            <w:pPr>
              <w:tabs>
                <w:tab w:val="center" w:pos="4536"/>
                <w:tab w:val="right" w:pos="9072"/>
              </w:tabs>
              <w:cnfStyle w:val="000000000000" w:firstRow="0" w:lastRow="0" w:firstColumn="0" w:lastColumn="0" w:oddVBand="0" w:evenVBand="0" w:oddHBand="0" w:evenHBand="0" w:firstRowFirstColumn="0" w:firstRowLastColumn="0" w:lastRowFirstColumn="0" w:lastRowLastColumn="0"/>
              <w:rPr>
                <w:rFonts w:cstheme="minorHAnsi"/>
                <w:szCs w:val="20"/>
              </w:rPr>
            </w:pPr>
            <w:r>
              <w:rPr>
                <w:rFonts w:asciiTheme="majorHAnsi" w:hAnsiTheme="majorHAnsi" w:cstheme="majorHAnsi"/>
                <w:szCs w:val="20"/>
              </w:rPr>
              <w:t>46%</w:t>
            </w:r>
          </w:p>
        </w:tc>
      </w:tr>
    </w:tbl>
    <w:p w14:paraId="22549B5E" w14:textId="77777777" w:rsidR="00A411A9" w:rsidRDefault="00A411A9" w:rsidP="00A411A9">
      <w:pPr>
        <w:rPr>
          <w:rFonts w:asciiTheme="majorHAnsi" w:hAnsiTheme="majorHAnsi"/>
          <w:i/>
        </w:rPr>
      </w:pPr>
    </w:p>
    <w:p w14:paraId="22D920A5" w14:textId="6F26D84E" w:rsidR="00D15840" w:rsidRDefault="00D15840" w:rsidP="00A411A9">
      <w:pPr>
        <w:rPr>
          <w:rFonts w:asciiTheme="majorHAnsi" w:hAnsiTheme="majorHAnsi"/>
          <w:i/>
        </w:rPr>
      </w:pPr>
      <w:r>
        <w:rPr>
          <w:rFonts w:asciiTheme="majorHAnsi" w:hAnsiTheme="majorHAnsi"/>
        </w:rPr>
        <w:t>Opmerking:</w:t>
      </w:r>
      <w:r>
        <w:rPr>
          <w:rFonts w:asciiTheme="majorHAnsi" w:hAnsiTheme="majorHAnsi"/>
          <w:i/>
        </w:rPr>
        <w:t xml:space="preserve"> </w:t>
      </w:r>
      <w:r w:rsidR="00EA3820" w:rsidRPr="00EA3820">
        <w:rPr>
          <w:rFonts w:asciiTheme="majorHAnsi" w:hAnsiTheme="majorHAnsi"/>
          <w:i/>
        </w:rPr>
        <w:t xml:space="preserve">De uitstroom groep is voor onze begrippen vrij groot, maar het is goed te zien dat 54% van deze leerlingen het oorspronkelijke ontwikkelperspectiefplan heeft gehaald. We werken toe naar een streefdoel van 80%, echter door de schaalgrootte van de school is dit percentage snel lager doordat de groepen die afstromen klein zijn. </w:t>
      </w:r>
      <w:r w:rsidR="004577E3">
        <w:rPr>
          <w:rFonts w:asciiTheme="majorHAnsi" w:hAnsiTheme="majorHAnsi"/>
          <w:i/>
        </w:rPr>
        <w:t xml:space="preserve">Om dit te behalen zetten we vroegtijdig extra hulp in op </w:t>
      </w:r>
      <w:r w:rsidR="00D62F36">
        <w:rPr>
          <w:rFonts w:asciiTheme="majorHAnsi" w:hAnsiTheme="majorHAnsi"/>
          <w:i/>
        </w:rPr>
        <w:t>de hoofdvakken. Indien nodig verwijzen we leerlingen door wanneer er mogelijk sprake lijkt te zijn van dyslexie.</w:t>
      </w:r>
    </w:p>
    <w:p w14:paraId="7EC615F5" w14:textId="77777777" w:rsidR="00D15840" w:rsidRPr="00D15840" w:rsidRDefault="00D15840" w:rsidP="00725EB6">
      <w:pPr>
        <w:pStyle w:val="Kop2"/>
      </w:pPr>
      <w:r w:rsidRPr="00D15840">
        <w:t xml:space="preserve">Gegevens </w:t>
      </w:r>
      <w:r>
        <w:t>bestendiging</w:t>
      </w:r>
      <w:r w:rsidRPr="00D15840">
        <w:t xml:space="preserve"> leerlingen</w:t>
      </w:r>
    </w:p>
    <w:p w14:paraId="104544CE" w14:textId="77777777" w:rsidR="00D15840" w:rsidRPr="00E10A4E" w:rsidRDefault="00E10A4E" w:rsidP="00A411A9">
      <w:pPr>
        <w:rPr>
          <w:rFonts w:cstheme="minorHAnsi"/>
        </w:rPr>
      </w:pPr>
      <w:r>
        <w:rPr>
          <w:rFonts w:cstheme="minorHAnsi"/>
        </w:rPr>
        <w:t>Jaarlijks vragen we aan de VO-scholen waarnaar de leerlingen zijn uitgestroomd, op welk niveau de leerlingen zitten. Dit vergelijken we met het niveau waarnaar ze zijn uitgestroomd.</w:t>
      </w:r>
    </w:p>
    <w:tbl>
      <w:tblPr>
        <w:tblStyle w:val="Rastertabel4-Accent5"/>
        <w:tblW w:w="0" w:type="auto"/>
        <w:tblLook w:val="04A0" w:firstRow="1" w:lastRow="0" w:firstColumn="1" w:lastColumn="0" w:noHBand="0" w:noVBand="1"/>
      </w:tblPr>
      <w:tblGrid>
        <w:gridCol w:w="1283"/>
        <w:gridCol w:w="1774"/>
        <w:gridCol w:w="2026"/>
        <w:gridCol w:w="2026"/>
        <w:gridCol w:w="1953"/>
      </w:tblGrid>
      <w:tr w:rsidR="00D62F36" w:rsidRPr="00E10A4E" w14:paraId="23CE4D6B" w14:textId="77777777" w:rsidTr="005C2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Pr>
          <w:p w14:paraId="4C6D3C6C" w14:textId="77777777" w:rsidR="00D62F36" w:rsidRPr="00A95AF9" w:rsidRDefault="00D62F36" w:rsidP="005C2CEE">
            <w:pPr>
              <w:rPr>
                <w:rFonts w:asciiTheme="majorHAnsi" w:hAnsiTheme="majorHAnsi" w:cstheme="majorHAnsi"/>
                <w:b w:val="0"/>
              </w:rPr>
            </w:pPr>
            <w:r w:rsidRPr="00A95AF9">
              <w:rPr>
                <w:rFonts w:asciiTheme="majorHAnsi" w:hAnsiTheme="majorHAnsi" w:cstheme="majorHAnsi"/>
              </w:rPr>
              <w:t>Schooljaar</w:t>
            </w:r>
            <w:r w:rsidRPr="00A95AF9">
              <w:rPr>
                <w:rFonts w:asciiTheme="majorHAnsi" w:hAnsiTheme="majorHAnsi" w:cstheme="majorHAnsi"/>
                <w:b w:val="0"/>
              </w:rPr>
              <w:t xml:space="preserve"> van uitstroom</w:t>
            </w:r>
          </w:p>
        </w:tc>
        <w:tc>
          <w:tcPr>
            <w:tcW w:w="1790" w:type="dxa"/>
          </w:tcPr>
          <w:p w14:paraId="15B3CDCF" w14:textId="77777777" w:rsidR="00D62F36" w:rsidRPr="00A95AF9" w:rsidRDefault="00D62F36" w:rsidP="005C2CE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A95AF9">
              <w:rPr>
                <w:rFonts w:asciiTheme="majorHAnsi" w:hAnsiTheme="majorHAnsi" w:cstheme="majorHAnsi"/>
              </w:rPr>
              <w:t>Aantal schoolverlaters</w:t>
            </w:r>
          </w:p>
        </w:tc>
        <w:tc>
          <w:tcPr>
            <w:tcW w:w="2077" w:type="dxa"/>
          </w:tcPr>
          <w:p w14:paraId="2DEB381F" w14:textId="77777777" w:rsidR="00D62F36" w:rsidRPr="00A95AF9" w:rsidRDefault="00D62F36" w:rsidP="005C2CE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A95AF9">
              <w:rPr>
                <w:rFonts w:asciiTheme="majorHAnsi" w:hAnsiTheme="majorHAnsi" w:cstheme="majorHAnsi"/>
              </w:rPr>
              <w:t xml:space="preserve">Bestendiging na 1 jaar (percentage leerlingen dat nog op het niveau van uitstroom zich </w:t>
            </w:r>
            <w:r w:rsidRPr="00A95AF9">
              <w:rPr>
                <w:rFonts w:asciiTheme="majorHAnsi" w:hAnsiTheme="majorHAnsi" w:cstheme="majorHAnsi"/>
              </w:rPr>
              <w:lastRenderedPageBreak/>
              <w:t>bevindt zoals de uitstroom is)</w:t>
            </w:r>
          </w:p>
        </w:tc>
        <w:tc>
          <w:tcPr>
            <w:tcW w:w="2077" w:type="dxa"/>
          </w:tcPr>
          <w:p w14:paraId="33D4C066" w14:textId="77777777" w:rsidR="00D62F36" w:rsidRPr="00A95AF9" w:rsidRDefault="00D62F36" w:rsidP="005C2CE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A95AF9">
              <w:rPr>
                <w:rFonts w:asciiTheme="majorHAnsi" w:hAnsiTheme="majorHAnsi" w:cstheme="majorHAnsi"/>
              </w:rPr>
              <w:lastRenderedPageBreak/>
              <w:t xml:space="preserve">Bestendiging na 2 jaar (percentage leerlingen dat nog op het niveau van uitstroom zich </w:t>
            </w:r>
            <w:r w:rsidRPr="00A95AF9">
              <w:rPr>
                <w:rFonts w:asciiTheme="majorHAnsi" w:hAnsiTheme="majorHAnsi" w:cstheme="majorHAnsi"/>
              </w:rPr>
              <w:lastRenderedPageBreak/>
              <w:t>bevindt zoals de uitstroom is)</w:t>
            </w:r>
          </w:p>
        </w:tc>
        <w:tc>
          <w:tcPr>
            <w:tcW w:w="1999" w:type="dxa"/>
          </w:tcPr>
          <w:p w14:paraId="03E5D94F" w14:textId="77777777" w:rsidR="00D62F36" w:rsidRPr="00A95AF9" w:rsidRDefault="00D62F36" w:rsidP="005C2CE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A95AF9">
              <w:rPr>
                <w:rFonts w:asciiTheme="majorHAnsi" w:hAnsiTheme="majorHAnsi" w:cstheme="majorHAnsi"/>
              </w:rPr>
              <w:lastRenderedPageBreak/>
              <w:t xml:space="preserve">Bestendiging na 3 jaar (percentage leerlingen dat nog op het niveau van uitstroom zich </w:t>
            </w:r>
            <w:r w:rsidRPr="00A95AF9">
              <w:rPr>
                <w:rFonts w:asciiTheme="majorHAnsi" w:hAnsiTheme="majorHAnsi" w:cstheme="majorHAnsi"/>
              </w:rPr>
              <w:lastRenderedPageBreak/>
              <w:t>bevindt zoals de uitstroom is)</w:t>
            </w:r>
          </w:p>
        </w:tc>
      </w:tr>
      <w:tr w:rsidR="00D62F36" w:rsidRPr="00E10A4E" w14:paraId="473CA831" w14:textId="77777777" w:rsidTr="005C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Pr>
          <w:p w14:paraId="3C7CD1AC" w14:textId="77777777" w:rsidR="00D62F36" w:rsidRPr="00A95AF9" w:rsidRDefault="00D62F36" w:rsidP="005C2CEE">
            <w:pPr>
              <w:rPr>
                <w:rFonts w:asciiTheme="majorHAnsi" w:hAnsiTheme="majorHAnsi" w:cstheme="majorHAnsi"/>
              </w:rPr>
            </w:pPr>
            <w:r w:rsidRPr="00A95AF9">
              <w:rPr>
                <w:rFonts w:asciiTheme="majorHAnsi" w:hAnsiTheme="majorHAnsi" w:cstheme="majorHAnsi"/>
              </w:rPr>
              <w:lastRenderedPageBreak/>
              <w:t>2013-2014</w:t>
            </w:r>
          </w:p>
        </w:tc>
        <w:tc>
          <w:tcPr>
            <w:tcW w:w="1790" w:type="dxa"/>
          </w:tcPr>
          <w:p w14:paraId="1B84781F"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10</w:t>
            </w:r>
          </w:p>
        </w:tc>
        <w:tc>
          <w:tcPr>
            <w:tcW w:w="2077" w:type="dxa"/>
          </w:tcPr>
          <w:p w14:paraId="4400FF6C"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91% (waarvan 0% hoger)</w:t>
            </w:r>
            <w:r w:rsidRPr="00A95AF9">
              <w:rPr>
                <w:rFonts w:asciiTheme="majorHAnsi" w:hAnsiTheme="majorHAnsi" w:cstheme="majorHAnsi"/>
              </w:rPr>
              <w:br/>
              <w:t>9 % onbekend</w:t>
            </w:r>
          </w:p>
        </w:tc>
        <w:tc>
          <w:tcPr>
            <w:tcW w:w="2077" w:type="dxa"/>
          </w:tcPr>
          <w:p w14:paraId="7553BAFB"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91% (waarvan 0% hoger)</w:t>
            </w:r>
            <w:r w:rsidRPr="00A95AF9">
              <w:rPr>
                <w:rFonts w:asciiTheme="majorHAnsi" w:hAnsiTheme="majorHAnsi" w:cstheme="majorHAnsi"/>
              </w:rPr>
              <w:br/>
              <w:t>9 % onbekend</w:t>
            </w:r>
          </w:p>
        </w:tc>
        <w:tc>
          <w:tcPr>
            <w:tcW w:w="1999" w:type="dxa"/>
          </w:tcPr>
          <w:p w14:paraId="28392CD7"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 xml:space="preserve">20% (waarvan 0% hoger) </w:t>
            </w:r>
          </w:p>
          <w:p w14:paraId="3479FF1C"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80% onbekend</w:t>
            </w:r>
          </w:p>
        </w:tc>
      </w:tr>
      <w:tr w:rsidR="00D62F36" w:rsidRPr="00E10A4E" w14:paraId="2F310CAA" w14:textId="77777777" w:rsidTr="005C2CEE">
        <w:tc>
          <w:tcPr>
            <w:cnfStyle w:val="001000000000" w:firstRow="0" w:lastRow="0" w:firstColumn="1" w:lastColumn="0" w:oddVBand="0" w:evenVBand="0" w:oddHBand="0" w:evenHBand="0" w:firstRowFirstColumn="0" w:firstRowLastColumn="0" w:lastRowFirstColumn="0" w:lastRowLastColumn="0"/>
            <w:tcW w:w="1295" w:type="dxa"/>
          </w:tcPr>
          <w:p w14:paraId="7D0D4387" w14:textId="77777777" w:rsidR="00D62F36" w:rsidRPr="00A95AF9" w:rsidRDefault="00D62F36" w:rsidP="005C2CEE">
            <w:pPr>
              <w:rPr>
                <w:rFonts w:asciiTheme="majorHAnsi" w:hAnsiTheme="majorHAnsi" w:cstheme="majorHAnsi"/>
              </w:rPr>
            </w:pPr>
            <w:r w:rsidRPr="00A95AF9">
              <w:rPr>
                <w:rFonts w:asciiTheme="majorHAnsi" w:hAnsiTheme="majorHAnsi" w:cstheme="majorHAnsi"/>
              </w:rPr>
              <w:t>2014-2015</w:t>
            </w:r>
          </w:p>
        </w:tc>
        <w:tc>
          <w:tcPr>
            <w:tcW w:w="1790" w:type="dxa"/>
          </w:tcPr>
          <w:p w14:paraId="00E4892F" w14:textId="77777777" w:rsidR="00D62F36" w:rsidRPr="00A95AF9" w:rsidRDefault="00D62F36"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10</w:t>
            </w:r>
          </w:p>
        </w:tc>
        <w:tc>
          <w:tcPr>
            <w:tcW w:w="2077" w:type="dxa"/>
          </w:tcPr>
          <w:p w14:paraId="5A6F7C5B" w14:textId="77777777" w:rsidR="00D62F36" w:rsidRPr="00A95AF9" w:rsidRDefault="00D62F36"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70% (waarvan 0% hoger)</w:t>
            </w:r>
            <w:r w:rsidRPr="00A95AF9">
              <w:rPr>
                <w:rFonts w:asciiTheme="majorHAnsi" w:hAnsiTheme="majorHAnsi" w:cstheme="majorHAnsi"/>
              </w:rPr>
              <w:br/>
              <w:t>30% onbekend</w:t>
            </w:r>
          </w:p>
        </w:tc>
        <w:tc>
          <w:tcPr>
            <w:tcW w:w="2077" w:type="dxa"/>
          </w:tcPr>
          <w:p w14:paraId="02029651" w14:textId="77777777" w:rsidR="00D62F36" w:rsidRPr="00A95AF9" w:rsidRDefault="00D62F36"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70% (waarvan 0% hoger)</w:t>
            </w:r>
            <w:r w:rsidRPr="00A95AF9">
              <w:rPr>
                <w:rFonts w:asciiTheme="majorHAnsi" w:hAnsiTheme="majorHAnsi" w:cstheme="majorHAnsi"/>
              </w:rPr>
              <w:br/>
              <w:t>30% onbekend</w:t>
            </w:r>
          </w:p>
        </w:tc>
        <w:tc>
          <w:tcPr>
            <w:tcW w:w="1999" w:type="dxa"/>
          </w:tcPr>
          <w:p w14:paraId="384D458B" w14:textId="77777777" w:rsidR="00D62F36" w:rsidRPr="00A95AF9" w:rsidRDefault="00D62F36"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 xml:space="preserve">10% (waarvan 0% hoger) </w:t>
            </w:r>
          </w:p>
          <w:p w14:paraId="0771AE1C" w14:textId="77777777" w:rsidR="00D62F36" w:rsidRPr="00A95AF9" w:rsidRDefault="00D62F36"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90% onbekend</w:t>
            </w:r>
          </w:p>
        </w:tc>
      </w:tr>
      <w:tr w:rsidR="00D62F36" w:rsidRPr="00E10A4E" w14:paraId="2EB40F8A" w14:textId="77777777" w:rsidTr="005C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Pr>
          <w:p w14:paraId="07BF9AD8" w14:textId="77777777" w:rsidR="00D62F36" w:rsidRPr="00A95AF9" w:rsidRDefault="00D62F36" w:rsidP="005C2CEE">
            <w:pPr>
              <w:rPr>
                <w:rFonts w:asciiTheme="majorHAnsi" w:hAnsiTheme="majorHAnsi" w:cstheme="majorHAnsi"/>
              </w:rPr>
            </w:pPr>
            <w:r w:rsidRPr="00A95AF9">
              <w:rPr>
                <w:rFonts w:asciiTheme="majorHAnsi" w:hAnsiTheme="majorHAnsi" w:cstheme="majorHAnsi"/>
              </w:rPr>
              <w:t>2015-2016</w:t>
            </w:r>
          </w:p>
        </w:tc>
        <w:tc>
          <w:tcPr>
            <w:tcW w:w="1790" w:type="dxa"/>
          </w:tcPr>
          <w:p w14:paraId="5CA41613"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12</w:t>
            </w:r>
          </w:p>
        </w:tc>
        <w:tc>
          <w:tcPr>
            <w:tcW w:w="2077" w:type="dxa"/>
          </w:tcPr>
          <w:p w14:paraId="1DEFCD4B"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67% (waarvan 0% hoger)</w:t>
            </w:r>
          </w:p>
          <w:p w14:paraId="13A3696D"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33% onbekend</w:t>
            </w:r>
          </w:p>
        </w:tc>
        <w:tc>
          <w:tcPr>
            <w:tcW w:w="2077" w:type="dxa"/>
          </w:tcPr>
          <w:p w14:paraId="7F103065"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67% (waarvan 0% hoger)</w:t>
            </w:r>
          </w:p>
          <w:p w14:paraId="2B1D7C91"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33% onbekend</w:t>
            </w:r>
          </w:p>
        </w:tc>
        <w:tc>
          <w:tcPr>
            <w:tcW w:w="1999" w:type="dxa"/>
          </w:tcPr>
          <w:p w14:paraId="2540937B"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58% (waarvan 8% hoger)</w:t>
            </w:r>
          </w:p>
          <w:p w14:paraId="39669021"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34% onbekend</w:t>
            </w:r>
          </w:p>
        </w:tc>
      </w:tr>
      <w:tr w:rsidR="00D62F36" w:rsidRPr="00E10A4E" w14:paraId="01FBEDEA" w14:textId="77777777" w:rsidTr="005C2CEE">
        <w:tc>
          <w:tcPr>
            <w:cnfStyle w:val="001000000000" w:firstRow="0" w:lastRow="0" w:firstColumn="1" w:lastColumn="0" w:oddVBand="0" w:evenVBand="0" w:oddHBand="0" w:evenHBand="0" w:firstRowFirstColumn="0" w:firstRowLastColumn="0" w:lastRowFirstColumn="0" w:lastRowLastColumn="0"/>
            <w:tcW w:w="1295" w:type="dxa"/>
          </w:tcPr>
          <w:p w14:paraId="4CC4FAE5" w14:textId="77777777" w:rsidR="00D62F36" w:rsidRPr="00A95AF9" w:rsidRDefault="00D62F36" w:rsidP="005C2CEE">
            <w:pPr>
              <w:rPr>
                <w:rFonts w:asciiTheme="majorHAnsi" w:hAnsiTheme="majorHAnsi" w:cstheme="majorHAnsi"/>
              </w:rPr>
            </w:pPr>
            <w:r w:rsidRPr="00A95AF9">
              <w:rPr>
                <w:rFonts w:asciiTheme="majorHAnsi" w:hAnsiTheme="majorHAnsi" w:cstheme="majorHAnsi"/>
              </w:rPr>
              <w:t>2016-2017</w:t>
            </w:r>
          </w:p>
        </w:tc>
        <w:tc>
          <w:tcPr>
            <w:tcW w:w="1790" w:type="dxa"/>
          </w:tcPr>
          <w:p w14:paraId="3BDA1442" w14:textId="77777777" w:rsidR="00D62F36" w:rsidRPr="00A95AF9" w:rsidRDefault="00D62F36"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13</w:t>
            </w:r>
          </w:p>
        </w:tc>
        <w:tc>
          <w:tcPr>
            <w:tcW w:w="2077" w:type="dxa"/>
          </w:tcPr>
          <w:p w14:paraId="3848057D" w14:textId="77777777" w:rsidR="00D62F36" w:rsidRPr="00A95AF9" w:rsidRDefault="00D62F36"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100% (waarvan 0% hoger)</w:t>
            </w:r>
          </w:p>
        </w:tc>
        <w:tc>
          <w:tcPr>
            <w:tcW w:w="2077" w:type="dxa"/>
          </w:tcPr>
          <w:p w14:paraId="3E075A43" w14:textId="77777777" w:rsidR="00D62F36" w:rsidRPr="00A95AF9" w:rsidRDefault="00D62F36"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54% (waarvan 0% hoger)</w:t>
            </w:r>
          </w:p>
          <w:p w14:paraId="3B1E8B9D" w14:textId="77777777" w:rsidR="00D62F36" w:rsidRPr="00A95AF9" w:rsidRDefault="00D62F36"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46% onbekend</w:t>
            </w:r>
          </w:p>
        </w:tc>
        <w:tc>
          <w:tcPr>
            <w:tcW w:w="1999" w:type="dxa"/>
          </w:tcPr>
          <w:p w14:paraId="1DDEE69F" w14:textId="77777777" w:rsidR="00D62F36" w:rsidRPr="00A95AF9" w:rsidRDefault="00D62F36"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15% (waarvan 0% hoger)</w:t>
            </w:r>
          </w:p>
          <w:p w14:paraId="0B421A69" w14:textId="77777777" w:rsidR="00D62F36" w:rsidRPr="00A95AF9" w:rsidRDefault="00D62F36"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85% onbekend</w:t>
            </w:r>
          </w:p>
        </w:tc>
      </w:tr>
      <w:tr w:rsidR="00D62F36" w:rsidRPr="00E10A4E" w14:paraId="2C6DF23F" w14:textId="77777777" w:rsidTr="005C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Pr>
          <w:p w14:paraId="38E2CD3A" w14:textId="77777777" w:rsidR="00D62F36" w:rsidRPr="00A95AF9" w:rsidRDefault="00D62F36" w:rsidP="005C2CEE">
            <w:pPr>
              <w:rPr>
                <w:rFonts w:asciiTheme="majorHAnsi" w:hAnsiTheme="majorHAnsi" w:cstheme="majorHAnsi"/>
              </w:rPr>
            </w:pPr>
            <w:r w:rsidRPr="00A95AF9">
              <w:rPr>
                <w:rFonts w:asciiTheme="majorHAnsi" w:hAnsiTheme="majorHAnsi" w:cstheme="majorHAnsi"/>
              </w:rPr>
              <w:t>2017-2018</w:t>
            </w:r>
          </w:p>
        </w:tc>
        <w:tc>
          <w:tcPr>
            <w:tcW w:w="1790" w:type="dxa"/>
          </w:tcPr>
          <w:p w14:paraId="6FE7EBC8"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9</w:t>
            </w:r>
          </w:p>
        </w:tc>
        <w:tc>
          <w:tcPr>
            <w:tcW w:w="2077" w:type="dxa"/>
          </w:tcPr>
          <w:p w14:paraId="2F4D53F7"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89% (waarvan 0% hoger)</w:t>
            </w:r>
          </w:p>
        </w:tc>
        <w:tc>
          <w:tcPr>
            <w:tcW w:w="2077" w:type="dxa"/>
          </w:tcPr>
          <w:p w14:paraId="449AEB65"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89% (waarvan 0% hoger)</w:t>
            </w:r>
          </w:p>
        </w:tc>
        <w:tc>
          <w:tcPr>
            <w:tcW w:w="1999" w:type="dxa"/>
          </w:tcPr>
          <w:p w14:paraId="0645522B"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89% (waarvan 22% op hoger niveau)</w:t>
            </w:r>
          </w:p>
        </w:tc>
      </w:tr>
      <w:tr w:rsidR="00D62F36" w:rsidRPr="00E10A4E" w14:paraId="2A38382D" w14:textId="77777777" w:rsidTr="005C2CEE">
        <w:tc>
          <w:tcPr>
            <w:cnfStyle w:val="001000000000" w:firstRow="0" w:lastRow="0" w:firstColumn="1" w:lastColumn="0" w:oddVBand="0" w:evenVBand="0" w:oddHBand="0" w:evenHBand="0" w:firstRowFirstColumn="0" w:firstRowLastColumn="0" w:lastRowFirstColumn="0" w:lastRowLastColumn="0"/>
            <w:tcW w:w="1295" w:type="dxa"/>
          </w:tcPr>
          <w:p w14:paraId="10F31E53" w14:textId="77777777" w:rsidR="00D62F36" w:rsidRPr="00A95AF9" w:rsidRDefault="00D62F36" w:rsidP="005C2CEE">
            <w:pPr>
              <w:rPr>
                <w:rFonts w:asciiTheme="majorHAnsi" w:hAnsiTheme="majorHAnsi" w:cstheme="majorHAnsi"/>
              </w:rPr>
            </w:pPr>
            <w:r w:rsidRPr="00A95AF9">
              <w:rPr>
                <w:rFonts w:asciiTheme="majorHAnsi" w:hAnsiTheme="majorHAnsi" w:cstheme="majorHAnsi"/>
              </w:rPr>
              <w:t>2018-2019</w:t>
            </w:r>
          </w:p>
        </w:tc>
        <w:tc>
          <w:tcPr>
            <w:tcW w:w="1790" w:type="dxa"/>
          </w:tcPr>
          <w:p w14:paraId="59DF1BE9" w14:textId="77777777" w:rsidR="00D62F36" w:rsidRPr="00A95AF9" w:rsidRDefault="00D62F36"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6</w:t>
            </w:r>
          </w:p>
        </w:tc>
        <w:tc>
          <w:tcPr>
            <w:tcW w:w="2077" w:type="dxa"/>
          </w:tcPr>
          <w:p w14:paraId="5F3E979A" w14:textId="77777777" w:rsidR="00D62F36" w:rsidRPr="00A95AF9" w:rsidRDefault="00D62F36"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100% (waarvan 0% hoger</w:t>
            </w:r>
          </w:p>
        </w:tc>
        <w:tc>
          <w:tcPr>
            <w:tcW w:w="2077" w:type="dxa"/>
          </w:tcPr>
          <w:p w14:paraId="7F4AE69A" w14:textId="77777777" w:rsidR="00D62F36" w:rsidRPr="00A95AF9" w:rsidRDefault="00D62F36"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83% (waarvan 33 % op hoger niveau)</w:t>
            </w:r>
          </w:p>
        </w:tc>
        <w:tc>
          <w:tcPr>
            <w:tcW w:w="1999" w:type="dxa"/>
          </w:tcPr>
          <w:p w14:paraId="777DA537" w14:textId="77777777" w:rsidR="00D62F36" w:rsidRPr="00A95AF9" w:rsidRDefault="004577E3"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66% (waarvan 33% hoger)</w:t>
            </w:r>
          </w:p>
        </w:tc>
      </w:tr>
      <w:tr w:rsidR="00D62F36" w:rsidRPr="00E10A4E" w14:paraId="70095C30" w14:textId="77777777" w:rsidTr="005C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Pr>
          <w:p w14:paraId="49CFE04D" w14:textId="77777777" w:rsidR="00D62F36" w:rsidRPr="00A95AF9" w:rsidRDefault="00D62F36" w:rsidP="005C2CEE">
            <w:pPr>
              <w:rPr>
                <w:rFonts w:asciiTheme="majorHAnsi" w:hAnsiTheme="majorHAnsi" w:cstheme="majorHAnsi"/>
                <w:b w:val="0"/>
                <w:bCs w:val="0"/>
              </w:rPr>
            </w:pPr>
            <w:r w:rsidRPr="00A95AF9">
              <w:rPr>
                <w:rFonts w:asciiTheme="majorHAnsi" w:hAnsiTheme="majorHAnsi" w:cstheme="majorHAnsi"/>
              </w:rPr>
              <w:t>2019-2020</w:t>
            </w:r>
          </w:p>
          <w:p w14:paraId="46DCCE87" w14:textId="77777777" w:rsidR="00D62F36" w:rsidRPr="00A95AF9" w:rsidRDefault="00D62F36" w:rsidP="005C2CEE">
            <w:pPr>
              <w:rPr>
                <w:rFonts w:asciiTheme="majorHAnsi" w:hAnsiTheme="majorHAnsi" w:cstheme="majorHAnsi"/>
              </w:rPr>
            </w:pPr>
          </w:p>
        </w:tc>
        <w:tc>
          <w:tcPr>
            <w:tcW w:w="1790" w:type="dxa"/>
          </w:tcPr>
          <w:p w14:paraId="1FEBE1BE"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4</w:t>
            </w:r>
          </w:p>
        </w:tc>
        <w:tc>
          <w:tcPr>
            <w:tcW w:w="2077" w:type="dxa"/>
          </w:tcPr>
          <w:p w14:paraId="3740018D" w14:textId="77777777" w:rsidR="00D62F36" w:rsidRPr="00A95AF9" w:rsidRDefault="00D62F36"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75% ( waarvan 0% hoger)</w:t>
            </w:r>
          </w:p>
        </w:tc>
        <w:tc>
          <w:tcPr>
            <w:tcW w:w="2077" w:type="dxa"/>
          </w:tcPr>
          <w:p w14:paraId="2D885BA9" w14:textId="77777777" w:rsidR="00D62F36" w:rsidRPr="00A95AF9" w:rsidRDefault="004577E3"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75% (waarvan 0% hoger)</w:t>
            </w:r>
          </w:p>
        </w:tc>
        <w:tc>
          <w:tcPr>
            <w:tcW w:w="1999" w:type="dxa"/>
          </w:tcPr>
          <w:p w14:paraId="63312946" w14:textId="3A812694" w:rsidR="00D62F36" w:rsidRPr="00A95AF9" w:rsidRDefault="00587E2E"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100% (waarvan 0% hoger)</w:t>
            </w:r>
          </w:p>
        </w:tc>
      </w:tr>
      <w:tr w:rsidR="00D62F36" w:rsidRPr="00E10A4E" w14:paraId="169F90B7" w14:textId="77777777" w:rsidTr="005C2CEE">
        <w:tc>
          <w:tcPr>
            <w:cnfStyle w:val="001000000000" w:firstRow="0" w:lastRow="0" w:firstColumn="1" w:lastColumn="0" w:oddVBand="0" w:evenVBand="0" w:oddHBand="0" w:evenHBand="0" w:firstRowFirstColumn="0" w:firstRowLastColumn="0" w:lastRowFirstColumn="0" w:lastRowLastColumn="0"/>
            <w:tcW w:w="1295" w:type="dxa"/>
          </w:tcPr>
          <w:p w14:paraId="32227DA6" w14:textId="77777777" w:rsidR="00D62F36" w:rsidRPr="00A95AF9" w:rsidRDefault="00D62F36" w:rsidP="005C2CEE">
            <w:pPr>
              <w:rPr>
                <w:rFonts w:asciiTheme="majorHAnsi" w:hAnsiTheme="majorHAnsi" w:cstheme="majorHAnsi"/>
              </w:rPr>
            </w:pPr>
            <w:r w:rsidRPr="00A95AF9">
              <w:rPr>
                <w:rFonts w:asciiTheme="majorHAnsi" w:hAnsiTheme="majorHAnsi" w:cstheme="majorHAnsi"/>
              </w:rPr>
              <w:t>2020-2021</w:t>
            </w:r>
          </w:p>
        </w:tc>
        <w:tc>
          <w:tcPr>
            <w:tcW w:w="1790" w:type="dxa"/>
          </w:tcPr>
          <w:p w14:paraId="703B0578" w14:textId="77777777" w:rsidR="00D62F36" w:rsidRPr="00A95AF9" w:rsidRDefault="00D62F36"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10</w:t>
            </w:r>
          </w:p>
        </w:tc>
        <w:tc>
          <w:tcPr>
            <w:tcW w:w="2077" w:type="dxa"/>
          </w:tcPr>
          <w:p w14:paraId="234DC754" w14:textId="77777777" w:rsidR="00D62F36" w:rsidRPr="00A95AF9" w:rsidRDefault="004577E3"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80% (waarvan 10% hoger)</w:t>
            </w:r>
          </w:p>
        </w:tc>
        <w:tc>
          <w:tcPr>
            <w:tcW w:w="2077" w:type="dxa"/>
          </w:tcPr>
          <w:p w14:paraId="79E4A95E" w14:textId="5FB5EE91" w:rsidR="00D62F36" w:rsidRPr="00A95AF9" w:rsidRDefault="00587E2E"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90% (waarvan 10% hoger)</w:t>
            </w:r>
          </w:p>
        </w:tc>
        <w:tc>
          <w:tcPr>
            <w:tcW w:w="1999" w:type="dxa"/>
          </w:tcPr>
          <w:p w14:paraId="544282C5" w14:textId="77777777" w:rsidR="00D62F36" w:rsidRPr="00A95AF9" w:rsidRDefault="00D62F36" w:rsidP="005C2C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577E3" w:rsidRPr="00E10A4E" w14:paraId="0865D7F6" w14:textId="77777777" w:rsidTr="005C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Pr>
          <w:p w14:paraId="027F8B75" w14:textId="77777777" w:rsidR="004577E3" w:rsidRPr="00A95AF9" w:rsidRDefault="004577E3" w:rsidP="005C2CEE">
            <w:pPr>
              <w:rPr>
                <w:rFonts w:asciiTheme="majorHAnsi" w:hAnsiTheme="majorHAnsi" w:cstheme="majorHAnsi"/>
              </w:rPr>
            </w:pPr>
            <w:r>
              <w:rPr>
                <w:rFonts w:asciiTheme="majorHAnsi" w:hAnsiTheme="majorHAnsi" w:cstheme="majorHAnsi"/>
              </w:rPr>
              <w:t>2021-2022</w:t>
            </w:r>
          </w:p>
        </w:tc>
        <w:tc>
          <w:tcPr>
            <w:tcW w:w="1790" w:type="dxa"/>
          </w:tcPr>
          <w:p w14:paraId="7215CC36" w14:textId="77777777" w:rsidR="004577E3" w:rsidRPr="00A95AF9" w:rsidRDefault="004577E3"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7</w:t>
            </w:r>
          </w:p>
        </w:tc>
        <w:tc>
          <w:tcPr>
            <w:tcW w:w="2077" w:type="dxa"/>
          </w:tcPr>
          <w:p w14:paraId="4948231D" w14:textId="1A3E838D" w:rsidR="004577E3" w:rsidRDefault="00587E2E"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100% (waarvan 0% hoger)</w:t>
            </w:r>
          </w:p>
        </w:tc>
        <w:tc>
          <w:tcPr>
            <w:tcW w:w="2077" w:type="dxa"/>
          </w:tcPr>
          <w:p w14:paraId="6F77E4E0" w14:textId="77777777" w:rsidR="004577E3" w:rsidRPr="00A95AF9" w:rsidRDefault="004577E3"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999" w:type="dxa"/>
          </w:tcPr>
          <w:p w14:paraId="6594614E" w14:textId="77777777" w:rsidR="004577E3" w:rsidRPr="00A95AF9" w:rsidRDefault="004577E3" w:rsidP="005C2C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461ABE0D" w14:textId="77777777" w:rsidR="00B42BF2" w:rsidRDefault="00B42BF2" w:rsidP="00E10A4E">
      <w:pPr>
        <w:rPr>
          <w:rFonts w:asciiTheme="majorHAnsi" w:hAnsiTheme="majorHAnsi"/>
        </w:rPr>
      </w:pPr>
    </w:p>
    <w:p w14:paraId="0AF9CFB8" w14:textId="77777777" w:rsidR="00E10A4E" w:rsidRDefault="00E10A4E" w:rsidP="00E10A4E">
      <w:pPr>
        <w:rPr>
          <w:rFonts w:asciiTheme="majorHAnsi" w:hAnsiTheme="majorHAnsi"/>
        </w:rPr>
      </w:pPr>
      <w:r>
        <w:rPr>
          <w:rFonts w:asciiTheme="majorHAnsi" w:hAnsiTheme="majorHAnsi"/>
        </w:rPr>
        <w:t>Onbekend als leerlingen tussentijds zijn overgegaan naar een andere school</w:t>
      </w:r>
      <w:r w:rsidR="00B42BF2">
        <w:rPr>
          <w:rFonts w:asciiTheme="majorHAnsi" w:hAnsiTheme="majorHAnsi"/>
        </w:rPr>
        <w:t xml:space="preserve"> of wanneer er geen gegevens beschikbaar zijn vanuit het voortgezet onderwijs</w:t>
      </w:r>
      <w:r>
        <w:rPr>
          <w:rFonts w:asciiTheme="majorHAnsi" w:hAnsiTheme="majorHAnsi"/>
        </w:rPr>
        <w:t>.</w:t>
      </w:r>
    </w:p>
    <w:p w14:paraId="2CA274E6" w14:textId="750EC7F1" w:rsidR="00E10A4E" w:rsidRDefault="00E10A4E" w:rsidP="00587E2E">
      <w:pPr>
        <w:pStyle w:val="Geenafstand"/>
        <w:rPr>
          <w:rFonts w:asciiTheme="majorHAnsi" w:hAnsiTheme="majorHAnsi"/>
          <w:i/>
        </w:rPr>
      </w:pPr>
      <w:r>
        <w:rPr>
          <w:rFonts w:asciiTheme="majorHAnsi" w:hAnsiTheme="majorHAnsi"/>
        </w:rPr>
        <w:t xml:space="preserve">Opmerking: </w:t>
      </w:r>
      <w:r w:rsidR="00587E2E" w:rsidRPr="00587E2E">
        <w:rPr>
          <w:rFonts w:asciiTheme="majorHAnsi" w:hAnsiTheme="majorHAnsi"/>
          <w:i/>
        </w:rPr>
        <w:t>We zijn tevreden over de resultaten met betrekking tot de bestendiging. Onze norm is dat 80% van onze leerlingen na 2 jaar op hetzelfde niveau zit als waar ze op zijn uitgestroomd.</w:t>
      </w:r>
      <w:r w:rsidR="00587E2E">
        <w:rPr>
          <w:rFonts w:asciiTheme="majorHAnsi" w:hAnsiTheme="majorHAnsi"/>
          <w:i/>
        </w:rPr>
        <w:t xml:space="preserve"> </w:t>
      </w:r>
      <w:r w:rsidR="00D62F36">
        <w:rPr>
          <w:rFonts w:asciiTheme="majorHAnsi" w:hAnsiTheme="majorHAnsi"/>
          <w:i/>
        </w:rPr>
        <w:t xml:space="preserve">De bestendiging wordt sinds schooljaar 2019-2020 gemonitord door DUO wat het borgen van de bestendiging meer valide maakt. </w:t>
      </w:r>
    </w:p>
    <w:p w14:paraId="6F6B7817" w14:textId="77777777" w:rsidR="00A411A9" w:rsidRPr="00A411A9" w:rsidRDefault="00A411A9" w:rsidP="00A411A9"/>
    <w:sectPr w:rsidR="00A411A9" w:rsidRPr="00A41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42"/>
    <w:rsid w:val="00005610"/>
    <w:rsid w:val="00075FF2"/>
    <w:rsid w:val="000B1D90"/>
    <w:rsid w:val="000C354B"/>
    <w:rsid w:val="000E0012"/>
    <w:rsid w:val="0015237D"/>
    <w:rsid w:val="0019085A"/>
    <w:rsid w:val="00194E39"/>
    <w:rsid w:val="001B3339"/>
    <w:rsid w:val="001F2EC6"/>
    <w:rsid w:val="00220A9D"/>
    <w:rsid w:val="00263E15"/>
    <w:rsid w:val="00286B83"/>
    <w:rsid w:val="003277B5"/>
    <w:rsid w:val="003357CF"/>
    <w:rsid w:val="00357BDB"/>
    <w:rsid w:val="003634AD"/>
    <w:rsid w:val="00372E9A"/>
    <w:rsid w:val="00395092"/>
    <w:rsid w:val="003B76AF"/>
    <w:rsid w:val="003C46BB"/>
    <w:rsid w:val="004577E3"/>
    <w:rsid w:val="00481A8F"/>
    <w:rsid w:val="004B7423"/>
    <w:rsid w:val="004B789F"/>
    <w:rsid w:val="0052121E"/>
    <w:rsid w:val="00571493"/>
    <w:rsid w:val="00575D07"/>
    <w:rsid w:val="00587E2E"/>
    <w:rsid w:val="005B5F8E"/>
    <w:rsid w:val="005C6EF1"/>
    <w:rsid w:val="005C7416"/>
    <w:rsid w:val="00655E3A"/>
    <w:rsid w:val="006607A3"/>
    <w:rsid w:val="006A5C76"/>
    <w:rsid w:val="00717F25"/>
    <w:rsid w:val="00725EB6"/>
    <w:rsid w:val="0073215F"/>
    <w:rsid w:val="00766C42"/>
    <w:rsid w:val="00781FE9"/>
    <w:rsid w:val="007B197B"/>
    <w:rsid w:val="007F0BE9"/>
    <w:rsid w:val="007F6F61"/>
    <w:rsid w:val="008310BD"/>
    <w:rsid w:val="009D1D2C"/>
    <w:rsid w:val="00A0206A"/>
    <w:rsid w:val="00A411A9"/>
    <w:rsid w:val="00A800A3"/>
    <w:rsid w:val="00B05E67"/>
    <w:rsid w:val="00B16B8B"/>
    <w:rsid w:val="00B2196C"/>
    <w:rsid w:val="00B42BF2"/>
    <w:rsid w:val="00B666D7"/>
    <w:rsid w:val="00B8067D"/>
    <w:rsid w:val="00BD1AAD"/>
    <w:rsid w:val="00C17D21"/>
    <w:rsid w:val="00C21534"/>
    <w:rsid w:val="00C242A6"/>
    <w:rsid w:val="00CA3B2A"/>
    <w:rsid w:val="00CA4D1E"/>
    <w:rsid w:val="00D15840"/>
    <w:rsid w:val="00D5639C"/>
    <w:rsid w:val="00D62F36"/>
    <w:rsid w:val="00D86A53"/>
    <w:rsid w:val="00DD69C0"/>
    <w:rsid w:val="00E10A4E"/>
    <w:rsid w:val="00E10EAD"/>
    <w:rsid w:val="00EA3820"/>
    <w:rsid w:val="00F024F0"/>
    <w:rsid w:val="00F323DE"/>
    <w:rsid w:val="00F756CB"/>
    <w:rsid w:val="00FE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1201"/>
  <w15:chartTrackingRefBased/>
  <w15:docId w15:val="{39C37E71-728B-4A1F-A34C-4072755D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25E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25E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4-Accent5">
    <w:name w:val="Grid Table 4 Accent 5"/>
    <w:basedOn w:val="Standaardtabel"/>
    <w:uiPriority w:val="49"/>
    <w:rsid w:val="00766C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raster">
    <w:name w:val="Table Grid"/>
    <w:basedOn w:val="Standaardtabel"/>
    <w:uiPriority w:val="39"/>
    <w:rsid w:val="00D1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10A4E"/>
    <w:pPr>
      <w:spacing w:after="0" w:line="240" w:lineRule="auto"/>
    </w:pPr>
  </w:style>
  <w:style w:type="character" w:customStyle="1" w:styleId="Kop1Char">
    <w:name w:val="Kop 1 Char"/>
    <w:basedOn w:val="Standaardalinea-lettertype"/>
    <w:link w:val="Kop1"/>
    <w:uiPriority w:val="9"/>
    <w:rsid w:val="00725EB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25EB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5">
      <w:bodyDiv w:val="1"/>
      <w:marLeft w:val="0"/>
      <w:marRight w:val="0"/>
      <w:marTop w:val="0"/>
      <w:marBottom w:val="0"/>
      <w:divBdr>
        <w:top w:val="none" w:sz="0" w:space="0" w:color="auto"/>
        <w:left w:val="none" w:sz="0" w:space="0" w:color="auto"/>
        <w:bottom w:val="none" w:sz="0" w:space="0" w:color="auto"/>
        <w:right w:val="none" w:sz="0" w:space="0" w:color="auto"/>
      </w:divBdr>
    </w:div>
    <w:div w:id="396561927">
      <w:bodyDiv w:val="1"/>
      <w:marLeft w:val="0"/>
      <w:marRight w:val="0"/>
      <w:marTop w:val="0"/>
      <w:marBottom w:val="0"/>
      <w:divBdr>
        <w:top w:val="none" w:sz="0" w:space="0" w:color="auto"/>
        <w:left w:val="none" w:sz="0" w:space="0" w:color="auto"/>
        <w:bottom w:val="none" w:sz="0" w:space="0" w:color="auto"/>
        <w:right w:val="none" w:sz="0" w:space="0" w:color="auto"/>
      </w:divBdr>
    </w:div>
    <w:div w:id="437716897">
      <w:bodyDiv w:val="1"/>
      <w:marLeft w:val="0"/>
      <w:marRight w:val="0"/>
      <w:marTop w:val="0"/>
      <w:marBottom w:val="0"/>
      <w:divBdr>
        <w:top w:val="none" w:sz="0" w:space="0" w:color="auto"/>
        <w:left w:val="none" w:sz="0" w:space="0" w:color="auto"/>
        <w:bottom w:val="none" w:sz="0" w:space="0" w:color="auto"/>
        <w:right w:val="none" w:sz="0" w:space="0" w:color="auto"/>
      </w:divBdr>
    </w:div>
    <w:div w:id="512456374">
      <w:bodyDiv w:val="1"/>
      <w:marLeft w:val="0"/>
      <w:marRight w:val="0"/>
      <w:marTop w:val="0"/>
      <w:marBottom w:val="0"/>
      <w:divBdr>
        <w:top w:val="none" w:sz="0" w:space="0" w:color="auto"/>
        <w:left w:val="none" w:sz="0" w:space="0" w:color="auto"/>
        <w:bottom w:val="none" w:sz="0" w:space="0" w:color="auto"/>
        <w:right w:val="none" w:sz="0" w:space="0" w:color="auto"/>
      </w:divBdr>
    </w:div>
    <w:div w:id="1383870535">
      <w:bodyDiv w:val="1"/>
      <w:marLeft w:val="0"/>
      <w:marRight w:val="0"/>
      <w:marTop w:val="0"/>
      <w:marBottom w:val="0"/>
      <w:divBdr>
        <w:top w:val="none" w:sz="0" w:space="0" w:color="auto"/>
        <w:left w:val="none" w:sz="0" w:space="0" w:color="auto"/>
        <w:bottom w:val="none" w:sz="0" w:space="0" w:color="auto"/>
        <w:right w:val="none" w:sz="0" w:space="0" w:color="auto"/>
      </w:divBdr>
    </w:div>
    <w:div w:id="1425228545">
      <w:bodyDiv w:val="1"/>
      <w:marLeft w:val="0"/>
      <w:marRight w:val="0"/>
      <w:marTop w:val="0"/>
      <w:marBottom w:val="0"/>
      <w:divBdr>
        <w:top w:val="none" w:sz="0" w:space="0" w:color="auto"/>
        <w:left w:val="none" w:sz="0" w:space="0" w:color="auto"/>
        <w:bottom w:val="none" w:sz="0" w:space="0" w:color="auto"/>
        <w:right w:val="none" w:sz="0" w:space="0" w:color="auto"/>
      </w:divBdr>
    </w:div>
    <w:div w:id="1728331718">
      <w:bodyDiv w:val="1"/>
      <w:marLeft w:val="0"/>
      <w:marRight w:val="0"/>
      <w:marTop w:val="0"/>
      <w:marBottom w:val="0"/>
      <w:divBdr>
        <w:top w:val="none" w:sz="0" w:space="0" w:color="auto"/>
        <w:left w:val="none" w:sz="0" w:space="0" w:color="auto"/>
        <w:bottom w:val="none" w:sz="0" w:space="0" w:color="auto"/>
        <w:right w:val="none" w:sz="0" w:space="0" w:color="auto"/>
      </w:divBdr>
    </w:div>
    <w:div w:id="1911845116">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2013485582">
      <w:bodyDiv w:val="1"/>
      <w:marLeft w:val="0"/>
      <w:marRight w:val="0"/>
      <w:marTop w:val="0"/>
      <w:marBottom w:val="0"/>
      <w:divBdr>
        <w:top w:val="none" w:sz="0" w:space="0" w:color="auto"/>
        <w:left w:val="none" w:sz="0" w:space="0" w:color="auto"/>
        <w:bottom w:val="none" w:sz="0" w:space="0" w:color="auto"/>
        <w:right w:val="none" w:sz="0" w:space="0" w:color="auto"/>
      </w:divBdr>
    </w:div>
    <w:div w:id="20155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eliezerenobadja.sharepoint.com/sites/Obadjaschool-cluster4/Team/Kwaliteitshandboek/Deel%20A/3.%20Opbrengsten%20(zwart)/3.%20Uitstroom/Uitstroom%20naar%20VO-type%20C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Blad1!$D$3</c:f>
              <c:strCache>
                <c:ptCount val="1"/>
                <c:pt idx="0">
                  <c:v>ZML</c:v>
                </c:pt>
              </c:strCache>
            </c:strRef>
          </c:tx>
          <c:spPr>
            <a:solidFill>
              <a:schemeClr val="accent1"/>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(Blad1!$D$5,Blad1!$D$7,Blad1!$D$9,Blad1!$D$11,Blad1!$D$13,Blad1!$D$15,Blad1!$D$17,Blad1!$D$19,Blad1!$D$21,Blad1!$D$23,Blad1!$D$25)</c:f>
              <c:numCache>
                <c:formatCode>0%</c:formatCode>
                <c:ptCount val="11"/>
                <c:pt idx="0">
                  <c:v>0</c:v>
                </c:pt>
                <c:pt idx="1">
                  <c:v>0</c:v>
                </c:pt>
                <c:pt idx="2">
                  <c:v>0.16666666666666666</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0-8993-44C6-815F-3D90CD25661E}"/>
            </c:ext>
          </c:extLst>
        </c:ser>
        <c:ser>
          <c:idx val="1"/>
          <c:order val="1"/>
          <c:tx>
            <c:strRef>
              <c:f>Blad1!$E$3</c:f>
              <c:strCache>
                <c:ptCount val="1"/>
                <c:pt idx="0">
                  <c:v>PRO</c:v>
                </c:pt>
              </c:strCache>
            </c:strRef>
          </c:tx>
          <c:spPr>
            <a:solidFill>
              <a:schemeClr val="accent2"/>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(Blad1!$E$5,Blad1!$E$7,Blad1!$E$9,Blad1!$E$11,Blad1!$E$13,Blad1!$E$15,Blad1!$E$17,Blad1!$E$19,Blad1!$E$21,Blad1!$E$23,Blad1!$E$25)</c:f>
              <c:numCache>
                <c:formatCode>0%</c:formatCode>
                <c:ptCount val="11"/>
                <c:pt idx="0">
                  <c:v>0</c:v>
                </c:pt>
                <c:pt idx="1">
                  <c:v>0.1111111111111111</c:v>
                </c:pt>
                <c:pt idx="2">
                  <c:v>0.16666666666666666</c:v>
                </c:pt>
                <c:pt idx="3">
                  <c:v>0.16666666666666666</c:v>
                </c:pt>
                <c:pt idx="4">
                  <c:v>0.25</c:v>
                </c:pt>
                <c:pt idx="5">
                  <c:v>0</c:v>
                </c:pt>
                <c:pt idx="6">
                  <c:v>0</c:v>
                </c:pt>
                <c:pt idx="7">
                  <c:v>0</c:v>
                </c:pt>
                <c:pt idx="8">
                  <c:v>0</c:v>
                </c:pt>
                <c:pt idx="9">
                  <c:v>0</c:v>
                </c:pt>
                <c:pt idx="10">
                  <c:v>0</c:v>
                </c:pt>
              </c:numCache>
            </c:numRef>
          </c:val>
          <c:extLst>
            <c:ext xmlns:c16="http://schemas.microsoft.com/office/drawing/2014/chart" uri="{C3380CC4-5D6E-409C-BE32-E72D297353CC}">
              <c16:uniqueId val="{00000001-8993-44C6-815F-3D90CD25661E}"/>
            </c:ext>
          </c:extLst>
        </c:ser>
        <c:ser>
          <c:idx val="9"/>
          <c:order val="2"/>
          <c:tx>
            <c:strRef>
              <c:f>Blad1!$F$3</c:f>
              <c:strCache>
                <c:ptCount val="1"/>
                <c:pt idx="0">
                  <c:v>PRO/ VMBO BB </c:v>
                </c:pt>
              </c:strCache>
            </c:strRef>
          </c:tx>
          <c:spPr>
            <a:solidFill>
              <a:schemeClr val="accent4">
                <a:lumMod val="60000"/>
              </a:schemeClr>
            </a:solidFill>
            <a:ln>
              <a:noFill/>
            </a:ln>
            <a:effectLst/>
          </c:spPr>
          <c:invertIfNegative val="0"/>
          <c:val>
            <c:numRef>
              <c:f>(Blad1!$F$5,Blad1!$F$7,Blad1!$F$9,Blad1!$F$11,Blad1!$F$13,Blad1!$F$15,Blad1!$F$17,Blad1!$F$19,Blad1!$F$21,Blad1!$F$23,Blad1!$F$25)</c:f>
              <c:numCache>
                <c:formatCode>0%</c:formatCode>
                <c:ptCount val="11"/>
                <c:pt idx="0">
                  <c:v>0</c:v>
                </c:pt>
                <c:pt idx="1">
                  <c:v>0</c:v>
                </c:pt>
                <c:pt idx="2">
                  <c:v>0</c:v>
                </c:pt>
                <c:pt idx="3">
                  <c:v>0</c:v>
                </c:pt>
                <c:pt idx="4">
                  <c:v>0</c:v>
                </c:pt>
                <c:pt idx="5">
                  <c:v>0.1</c:v>
                </c:pt>
                <c:pt idx="6">
                  <c:v>0.14285714285714285</c:v>
                </c:pt>
                <c:pt idx="7">
                  <c:v>0</c:v>
                </c:pt>
                <c:pt idx="8">
                  <c:v>0</c:v>
                </c:pt>
                <c:pt idx="9">
                  <c:v>0</c:v>
                </c:pt>
                <c:pt idx="10">
                  <c:v>0</c:v>
                </c:pt>
              </c:numCache>
            </c:numRef>
          </c:val>
          <c:extLst>
            <c:ext xmlns:c16="http://schemas.microsoft.com/office/drawing/2014/chart" uri="{C3380CC4-5D6E-409C-BE32-E72D297353CC}">
              <c16:uniqueId val="{00000002-8993-44C6-815F-3D90CD25661E}"/>
            </c:ext>
          </c:extLst>
        </c:ser>
        <c:ser>
          <c:idx val="2"/>
          <c:order val="3"/>
          <c:tx>
            <c:strRef>
              <c:f>Blad1!$G$3</c:f>
              <c:strCache>
                <c:ptCount val="1"/>
                <c:pt idx="0">
                  <c:v>VMBO-B cl 4</c:v>
                </c:pt>
              </c:strCache>
            </c:strRef>
          </c:tx>
          <c:spPr>
            <a:solidFill>
              <a:schemeClr val="accent3"/>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(Blad1!$G$5,Blad1!$G$7,Blad1!$G$9,Blad1!$G$11,Blad1!$G$13,Blad1!$G$15,Blad1!$G$17,Blad1!$G$19,Blad1!$G$21,Blad1!$G$23,Blad1!$G$25)</c:f>
              <c:numCache>
                <c:formatCode>0%</c:formatCode>
                <c:ptCount val="11"/>
                <c:pt idx="0">
                  <c:v>0.58333333333333337</c:v>
                </c:pt>
                <c:pt idx="1">
                  <c:v>0.33333333333333331</c:v>
                </c:pt>
                <c:pt idx="2">
                  <c:v>0.33333333333333331</c:v>
                </c:pt>
                <c:pt idx="3">
                  <c:v>0.33333333333333331</c:v>
                </c:pt>
                <c:pt idx="4">
                  <c:v>0.5</c:v>
                </c:pt>
                <c:pt idx="5">
                  <c:v>0.3</c:v>
                </c:pt>
                <c:pt idx="6">
                  <c:v>0.2857142857142857</c:v>
                </c:pt>
                <c:pt idx="7">
                  <c:v>0.27272727272727271</c:v>
                </c:pt>
                <c:pt idx="8">
                  <c:v>0</c:v>
                </c:pt>
                <c:pt idx="9">
                  <c:v>0</c:v>
                </c:pt>
                <c:pt idx="10">
                  <c:v>0</c:v>
                </c:pt>
              </c:numCache>
            </c:numRef>
          </c:val>
          <c:extLst>
            <c:ext xmlns:c16="http://schemas.microsoft.com/office/drawing/2014/chart" uri="{C3380CC4-5D6E-409C-BE32-E72D297353CC}">
              <c16:uniqueId val="{00000003-8993-44C6-815F-3D90CD25661E}"/>
            </c:ext>
          </c:extLst>
        </c:ser>
        <c:ser>
          <c:idx val="3"/>
          <c:order val="4"/>
          <c:tx>
            <c:strRef>
              <c:f>Blad1!$H$3</c:f>
              <c:strCache>
                <c:ptCount val="1"/>
                <c:pt idx="0">
                  <c:v>VMBO-K cl 4</c:v>
                </c:pt>
              </c:strCache>
            </c:strRef>
          </c:tx>
          <c:spPr>
            <a:solidFill>
              <a:schemeClr val="accent4"/>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(Blad1!$H$5,Blad1!$H$7,Blad1!$H$9,Blad1!$H$11,Blad1!$H$13,Blad1!$H$15,Blad1!$H$17,Blad1!$H$19,Blad1!$H$21,Blad1!$H$23,Blad1!$H$25)</c:f>
              <c:numCache>
                <c:formatCode>0%</c:formatCode>
                <c:ptCount val="11"/>
                <c:pt idx="0">
                  <c:v>0.33333333333333331</c:v>
                </c:pt>
                <c:pt idx="1">
                  <c:v>0</c:v>
                </c:pt>
                <c:pt idx="2">
                  <c:v>0.16666666666666666</c:v>
                </c:pt>
                <c:pt idx="3">
                  <c:v>0.16666666666666666</c:v>
                </c:pt>
                <c:pt idx="4">
                  <c:v>0</c:v>
                </c:pt>
                <c:pt idx="5">
                  <c:v>0.2</c:v>
                </c:pt>
                <c:pt idx="6">
                  <c:v>0.2857142857142857</c:v>
                </c:pt>
                <c:pt idx="7">
                  <c:v>0.45454545454545453</c:v>
                </c:pt>
                <c:pt idx="8">
                  <c:v>0</c:v>
                </c:pt>
                <c:pt idx="9">
                  <c:v>0</c:v>
                </c:pt>
                <c:pt idx="10">
                  <c:v>0</c:v>
                </c:pt>
              </c:numCache>
            </c:numRef>
          </c:val>
          <c:extLst>
            <c:ext xmlns:c16="http://schemas.microsoft.com/office/drawing/2014/chart" uri="{C3380CC4-5D6E-409C-BE32-E72D297353CC}">
              <c16:uniqueId val="{00000004-8993-44C6-815F-3D90CD25661E}"/>
            </c:ext>
          </c:extLst>
        </c:ser>
        <c:ser>
          <c:idx val="4"/>
          <c:order val="5"/>
          <c:tx>
            <c:strRef>
              <c:f>Blad1!$I$3</c:f>
              <c:strCache>
                <c:ptCount val="1"/>
                <c:pt idx="0">
                  <c:v>VMBO-GTL cl 4</c:v>
                </c:pt>
              </c:strCache>
            </c:strRef>
          </c:tx>
          <c:spPr>
            <a:solidFill>
              <a:schemeClr val="accent5"/>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(Blad1!$I$5,Blad1!$I$7,Blad1!$I$9,Blad1!$I$11,Blad1!$I$13,Blad1!$I$15,Blad1!$I$17,Blad1!$I$19,Blad1!$I$21,Blad1!$I$23,Blad1!$I$25)</c:f>
              <c:numCache>
                <c:formatCode>0%</c:formatCode>
                <c:ptCount val="11"/>
                <c:pt idx="0">
                  <c:v>0</c:v>
                </c:pt>
                <c:pt idx="1">
                  <c:v>0.1111111111111111</c:v>
                </c:pt>
                <c:pt idx="2">
                  <c:v>0</c:v>
                </c:pt>
                <c:pt idx="3">
                  <c:v>0.16666666666666666</c:v>
                </c:pt>
                <c:pt idx="4">
                  <c:v>0.25</c:v>
                </c:pt>
                <c:pt idx="5">
                  <c:v>0.2</c:v>
                </c:pt>
                <c:pt idx="6">
                  <c:v>0.14285714285714285</c:v>
                </c:pt>
                <c:pt idx="7">
                  <c:v>0.18181818181818182</c:v>
                </c:pt>
                <c:pt idx="8">
                  <c:v>0</c:v>
                </c:pt>
                <c:pt idx="9">
                  <c:v>0</c:v>
                </c:pt>
                <c:pt idx="10">
                  <c:v>0</c:v>
                </c:pt>
              </c:numCache>
            </c:numRef>
          </c:val>
          <c:extLst>
            <c:ext xmlns:c16="http://schemas.microsoft.com/office/drawing/2014/chart" uri="{C3380CC4-5D6E-409C-BE32-E72D297353CC}">
              <c16:uniqueId val="{00000005-8993-44C6-815F-3D90CD25661E}"/>
            </c:ext>
          </c:extLst>
        </c:ser>
        <c:ser>
          <c:idx val="5"/>
          <c:order val="6"/>
          <c:tx>
            <c:strRef>
              <c:f>Blad1!$J$3</c:f>
              <c:strCache>
                <c:ptCount val="1"/>
                <c:pt idx="0">
                  <c:v>HAVO cl 4</c:v>
                </c:pt>
              </c:strCache>
            </c:strRef>
          </c:tx>
          <c:spPr>
            <a:solidFill>
              <a:schemeClr val="accent6"/>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(Blad1!$J$5,Blad1!$J$7,Blad1!$J$9,Blad1!$J$11,Blad1!$J$13,Blad1!$J$15,Blad1!$J$17,Blad1!$J$19,Blad1!$J$21,Blad1!$J$23,Blad1!$J$25)</c:f>
              <c:numCache>
                <c:formatCode>0%</c:formatCode>
                <c:ptCount val="11"/>
                <c:pt idx="0">
                  <c:v>8.3333333333333329E-2</c:v>
                </c:pt>
                <c:pt idx="1">
                  <c:v>0</c:v>
                </c:pt>
                <c:pt idx="2">
                  <c:v>0.16666666666666666</c:v>
                </c:pt>
                <c:pt idx="3">
                  <c:v>0</c:v>
                </c:pt>
                <c:pt idx="4">
                  <c:v>0</c:v>
                </c:pt>
                <c:pt idx="5">
                  <c:v>0.1</c:v>
                </c:pt>
                <c:pt idx="6">
                  <c:v>0</c:v>
                </c:pt>
                <c:pt idx="7">
                  <c:v>9.0909090909090912E-2</c:v>
                </c:pt>
                <c:pt idx="8">
                  <c:v>0</c:v>
                </c:pt>
                <c:pt idx="9">
                  <c:v>0</c:v>
                </c:pt>
                <c:pt idx="10">
                  <c:v>0</c:v>
                </c:pt>
              </c:numCache>
            </c:numRef>
          </c:val>
          <c:extLst>
            <c:ext xmlns:c16="http://schemas.microsoft.com/office/drawing/2014/chart" uri="{C3380CC4-5D6E-409C-BE32-E72D297353CC}">
              <c16:uniqueId val="{00000006-8993-44C6-815F-3D90CD25661E}"/>
            </c:ext>
          </c:extLst>
        </c:ser>
        <c:ser>
          <c:idx val="6"/>
          <c:order val="7"/>
          <c:tx>
            <c:strRef>
              <c:f>Blad1!$K$3</c:f>
              <c:strCache>
                <c:ptCount val="1"/>
                <c:pt idx="0">
                  <c:v>HAVO</c:v>
                </c:pt>
              </c:strCache>
            </c:strRef>
          </c:tx>
          <c:spPr>
            <a:solidFill>
              <a:schemeClr val="accent1">
                <a:lumMod val="60000"/>
              </a:schemeClr>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(Blad1!$K$5,Blad1!$K$7,Blad1!$K$9,Blad1!$K$11,Blad1!$K$13,Blad1!$K$15,Blad1!$K$17,Blad1!$K$19,Blad1!$K$21,Blad1!$K$23,Blad1!$K$25)</c:f>
              <c:numCache>
                <c:formatCode>0%</c:formatCode>
                <c:ptCount val="11"/>
                <c:pt idx="0">
                  <c:v>0</c:v>
                </c:pt>
                <c:pt idx="1">
                  <c:v>0.1111111111111111</c:v>
                </c:pt>
                <c:pt idx="2">
                  <c:v>0</c:v>
                </c:pt>
                <c:pt idx="3">
                  <c:v>0</c:v>
                </c:pt>
                <c:pt idx="4">
                  <c:v>0</c:v>
                </c:pt>
                <c:pt idx="5">
                  <c:v>0.1</c:v>
                </c:pt>
                <c:pt idx="6">
                  <c:v>0</c:v>
                </c:pt>
                <c:pt idx="7">
                  <c:v>0</c:v>
                </c:pt>
                <c:pt idx="8">
                  <c:v>0</c:v>
                </c:pt>
                <c:pt idx="9">
                  <c:v>0</c:v>
                </c:pt>
                <c:pt idx="10">
                  <c:v>0</c:v>
                </c:pt>
              </c:numCache>
            </c:numRef>
          </c:val>
          <c:extLst>
            <c:ext xmlns:c16="http://schemas.microsoft.com/office/drawing/2014/chart" uri="{C3380CC4-5D6E-409C-BE32-E72D297353CC}">
              <c16:uniqueId val="{00000007-8993-44C6-815F-3D90CD25661E}"/>
            </c:ext>
          </c:extLst>
        </c:ser>
        <c:ser>
          <c:idx val="7"/>
          <c:order val="8"/>
          <c:tx>
            <c:strRef>
              <c:f>Blad1!$L$3</c:f>
              <c:strCache>
                <c:ptCount val="1"/>
                <c:pt idx="0">
                  <c:v>VWO</c:v>
                </c:pt>
              </c:strCache>
            </c:strRef>
          </c:tx>
          <c:spPr>
            <a:solidFill>
              <a:schemeClr val="accent2">
                <a:lumMod val="60000"/>
              </a:schemeClr>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(Blad1!$L$5,Blad1!$L$7,Blad1!$L$9,Blad1!$L$11,Blad1!$L$13,Blad1!$L$15,Blad1!$L$17,Blad1!$L$19,Blad1!$L$21,Blad1!$L$23,Blad1!$L$25)</c:f>
              <c:numCache>
                <c:formatCode>0%</c:formatCode>
                <c:ptCount val="11"/>
                <c:pt idx="0">
                  <c:v>0</c:v>
                </c:pt>
                <c:pt idx="1">
                  <c:v>0.22222222222222221</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8-8993-44C6-815F-3D90CD25661E}"/>
            </c:ext>
          </c:extLst>
        </c:ser>
        <c:ser>
          <c:idx val="8"/>
          <c:order val="9"/>
          <c:tx>
            <c:strRef>
              <c:f>Blad1!$M$3</c:f>
              <c:strCache>
                <c:ptCount val="1"/>
                <c:pt idx="0">
                  <c:v>VSO</c:v>
                </c:pt>
              </c:strCache>
            </c:strRef>
          </c:tx>
          <c:spPr>
            <a:solidFill>
              <a:schemeClr val="accent3">
                <a:lumMod val="60000"/>
              </a:schemeClr>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(Blad1!$M$5,Blad1!$M$7,Blad1!$M$9,Blad1!$M$11,Blad1!$M$13,Blad1!$M$15,Blad1!$M$17,Blad1!$M$19,Blad1!$M$21,Blad1!$M$23,Blad1!$M$25)</c:f>
              <c:numCache>
                <c:formatCode>0%</c:formatCode>
                <c:ptCount val="11"/>
                <c:pt idx="0">
                  <c:v>0</c:v>
                </c:pt>
                <c:pt idx="1">
                  <c:v>0.1111111111111111</c:v>
                </c:pt>
                <c:pt idx="2">
                  <c:v>0</c:v>
                </c:pt>
                <c:pt idx="3">
                  <c:v>0.16666666666666666</c:v>
                </c:pt>
                <c:pt idx="4">
                  <c:v>0</c:v>
                </c:pt>
                <c:pt idx="5">
                  <c:v>0</c:v>
                </c:pt>
                <c:pt idx="6">
                  <c:v>0.14285714285714285</c:v>
                </c:pt>
                <c:pt idx="7">
                  <c:v>0</c:v>
                </c:pt>
                <c:pt idx="8">
                  <c:v>0</c:v>
                </c:pt>
                <c:pt idx="9">
                  <c:v>0</c:v>
                </c:pt>
                <c:pt idx="10">
                  <c:v>0</c:v>
                </c:pt>
              </c:numCache>
            </c:numRef>
          </c:val>
          <c:extLst>
            <c:ext xmlns:c16="http://schemas.microsoft.com/office/drawing/2014/chart" uri="{C3380CC4-5D6E-409C-BE32-E72D297353CC}">
              <c16:uniqueId val="{00000009-8993-44C6-815F-3D90CD25661E}"/>
            </c:ext>
          </c:extLst>
        </c:ser>
        <c:dLbls>
          <c:showLegendKey val="0"/>
          <c:showVal val="0"/>
          <c:showCatName val="0"/>
          <c:showSerName val="0"/>
          <c:showPercent val="0"/>
          <c:showBubbleSize val="0"/>
        </c:dLbls>
        <c:gapWidth val="219"/>
        <c:overlap val="100"/>
        <c:axId val="477595176"/>
        <c:axId val="477595504"/>
      </c:barChart>
      <c:catAx>
        <c:axId val="47759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77595504"/>
        <c:crosses val="autoZero"/>
        <c:auto val="1"/>
        <c:lblAlgn val="ctr"/>
        <c:lblOffset val="100"/>
        <c:noMultiLvlLbl val="0"/>
      </c:catAx>
      <c:valAx>
        <c:axId val="477595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775951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582782BB697747828D9AC106404BA7" ma:contentTypeVersion="13" ma:contentTypeDescription="Een nieuw document maken." ma:contentTypeScope="" ma:versionID="d21c53cef775940abae7001e43aee40e">
  <xsd:schema xmlns:xsd="http://www.w3.org/2001/XMLSchema" xmlns:xs="http://www.w3.org/2001/XMLSchema" xmlns:p="http://schemas.microsoft.com/office/2006/metadata/properties" xmlns:ns2="83da3e3b-0286-4c26-b94c-ec488b8b3d5c" xmlns:ns3="079f4a47-8e0b-4585-b0fb-1c61657d5ddb" targetNamespace="http://schemas.microsoft.com/office/2006/metadata/properties" ma:root="true" ma:fieldsID="57f3520c3f842604511937b6241ea8fd" ns2:_="" ns3:_="">
    <xsd:import namespace="83da3e3b-0286-4c26-b94c-ec488b8b3d5c"/>
    <xsd:import namespace="079f4a47-8e0b-4585-b0fb-1c61657d5d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a3e3b-0286-4c26-b94c-ec488b8b3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f3c05c8-7c21-4ccc-84d5-f1f620ce89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f4a47-8e0b-4585-b0fb-1c61657d5dd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8bac43b-b2b5-4bb4-8ba7-0d74d331ab36}" ma:internalName="TaxCatchAll" ma:showField="CatchAllData" ma:web="079f4a47-8e0b-4585-b0fb-1c61657d5dd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79f4a47-8e0b-4585-b0fb-1c61657d5ddb" xsi:nil="true"/>
    <lcf76f155ced4ddcb4097134ff3c332f xmlns="83da3e3b-0286-4c26-b94c-ec488b8b3d5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1A8B2-133A-46F9-9E18-3826CD857545}">
  <ds:schemaRefs>
    <ds:schemaRef ds:uri="http://schemas.microsoft.com/sharepoint/v3/contenttype/forms"/>
  </ds:schemaRefs>
</ds:datastoreItem>
</file>

<file path=customXml/itemProps2.xml><?xml version="1.0" encoding="utf-8"?>
<ds:datastoreItem xmlns:ds="http://schemas.openxmlformats.org/officeDocument/2006/customXml" ds:itemID="{6B80D713-08F0-4253-BEB3-C835FCAAC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a3e3b-0286-4c26-b94c-ec488b8b3d5c"/>
    <ds:schemaRef ds:uri="079f4a47-8e0b-4585-b0fb-1c61657d5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6D60C-8AD0-40DD-AA40-560D44B6EFC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3da3e3b-0286-4c26-b94c-ec488b8b3d5c"/>
    <ds:schemaRef ds:uri="http://schemas.microsoft.com/office/2006/metadata/properties"/>
    <ds:schemaRef ds:uri="http://purl.org/dc/elements/1.1/"/>
    <ds:schemaRef ds:uri="079f4a47-8e0b-4585-b0fb-1c61657d5ddb"/>
    <ds:schemaRef ds:uri="http://www.w3.org/XML/1998/namespace"/>
    <ds:schemaRef ds:uri="http://purl.org/dc/dcmitype/"/>
  </ds:schemaRefs>
</ds:datastoreItem>
</file>

<file path=customXml/itemProps4.xml><?xml version="1.0" encoding="utf-8"?>
<ds:datastoreItem xmlns:ds="http://schemas.openxmlformats.org/officeDocument/2006/customXml" ds:itemID="{F2BAD702-342E-41DD-8E10-8BFCC02F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785</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ISO Groep</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(Annet) Ploeg | Eliëzerschool</dc:creator>
  <cp:keywords/>
  <dc:description/>
  <cp:lastModifiedBy>J.G. (Anne-Greet) Verweij-van Helden | Obadjaschool Cluster 4</cp:lastModifiedBy>
  <cp:revision>8</cp:revision>
  <dcterms:created xsi:type="dcterms:W3CDTF">2022-06-17T12:25:00Z</dcterms:created>
  <dcterms:modified xsi:type="dcterms:W3CDTF">2023-07-04T09:40:00Z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0x01010048582782BB697747828D9AC106404BA7</vt:lpwstr>
  </property>
  <property fmtid="{D5CDD505-2E9C-101B-9397-08002B2CF9AE}" pid="3" name="MediaServiceImageTags">
    <vt:lpwstr/>
  </property>
</Properties>
</file>