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20" w:rsidRDefault="005D0720" w:rsidP="005D0720">
      <w:pPr>
        <w:rPr>
          <w:lang w:eastAsia="en-US"/>
        </w:rPr>
      </w:pPr>
      <w:bookmarkStart w:id="0" w:name="_GoBack"/>
      <w:r>
        <w:rPr>
          <w:lang w:eastAsia="en-US"/>
        </w:rPr>
        <w:t>Kindermishandeling</w:t>
      </w:r>
    </w:p>
    <w:p w:rsidR="005D0720" w:rsidRDefault="005D0720" w:rsidP="005D0720">
      <w:pPr>
        <w:rPr>
          <w:lang w:eastAsia="en-US"/>
        </w:rPr>
      </w:pPr>
    </w:p>
    <w:p w:rsidR="005D0720" w:rsidRDefault="005D0720" w:rsidP="005D0720">
      <w:pPr>
        <w:rPr>
          <w:lang w:eastAsia="en-US"/>
        </w:rPr>
      </w:pPr>
      <w:r>
        <w:rPr>
          <w:lang w:eastAsia="en-US"/>
        </w:rPr>
        <w:t xml:space="preserve">Kindermishandeling komt helaas nog regelmatig in onze maatschappij voor. We kunnen zes vormen van kindermishandeling onderscheiden: lichamelijke mishandeling, psychische of emotionele mishandeling, lichamelijke verwaarlozing, psychische of emotionele verwaarlozing, seksueel misbruik en het feit dat kinderen getuige zijn van huiselijk geweld. Om adequaat te kunnen handelen bij (vermoedens van) kindermishandeling hanteert de school een protocol. Dit protocol omvat de volgende fases: </w:t>
      </w:r>
    </w:p>
    <w:p w:rsidR="005D0720" w:rsidRDefault="005D0720" w:rsidP="005D0720">
      <w:pPr>
        <w:autoSpaceDE w:val="0"/>
        <w:autoSpaceDN w:val="0"/>
        <w:adjustRightInd w:val="0"/>
        <w:spacing w:after="40" w:line="240" w:lineRule="auto"/>
        <w:rPr>
          <w:rFonts w:cs="Arial"/>
          <w:b/>
          <w:bCs/>
          <w:szCs w:val="22"/>
          <w:lang w:eastAsia="en-US"/>
        </w:rPr>
      </w:pPr>
      <w:r>
        <w:rPr>
          <w:rFonts w:cs="Arial"/>
          <w:b/>
          <w:bCs/>
          <w:szCs w:val="22"/>
          <w:lang w:eastAsia="en-US"/>
        </w:rPr>
        <w:t>Fase 1 De leerkracht heeft een vermoeden</w:t>
      </w:r>
    </w:p>
    <w:p w:rsidR="005D0720" w:rsidRDefault="005D0720" w:rsidP="005D0720">
      <w:pPr>
        <w:spacing w:after="60"/>
        <w:ind w:left="284"/>
        <w:rPr>
          <w:lang w:eastAsia="en-US"/>
        </w:rPr>
      </w:pPr>
      <w:r>
        <w:rPr>
          <w:lang w:eastAsia="en-US"/>
        </w:rPr>
        <w:t>• Hij of zij onderbouwt het vermoeden door gericht te observeren welke signalen het kind afgeeft.</w:t>
      </w:r>
    </w:p>
    <w:p w:rsidR="005D0720" w:rsidRDefault="005D0720" w:rsidP="005D0720">
      <w:pPr>
        <w:spacing w:after="60"/>
        <w:ind w:left="284"/>
        <w:rPr>
          <w:lang w:eastAsia="en-US"/>
        </w:rPr>
      </w:pPr>
      <w:r>
        <w:rPr>
          <w:lang w:eastAsia="en-US"/>
        </w:rPr>
        <w:t>• Hij of zij overlegt met een collega, met de interne begeleider en directie</w:t>
      </w:r>
    </w:p>
    <w:p w:rsidR="005D0720" w:rsidRDefault="005D0720" w:rsidP="005D0720">
      <w:pPr>
        <w:spacing w:before="240" w:after="40"/>
        <w:rPr>
          <w:b/>
          <w:lang w:eastAsia="en-US"/>
        </w:rPr>
      </w:pPr>
      <w:r>
        <w:rPr>
          <w:b/>
          <w:lang w:eastAsia="en-US"/>
        </w:rPr>
        <w:t>Fase 2 De leerkracht bespreekt het vermoeden</w:t>
      </w:r>
    </w:p>
    <w:p w:rsidR="005D0720" w:rsidRDefault="005D0720" w:rsidP="005D0720">
      <w:pPr>
        <w:spacing w:after="60"/>
        <w:ind w:left="284"/>
        <w:rPr>
          <w:lang w:eastAsia="en-US"/>
        </w:rPr>
      </w:pPr>
      <w:r>
        <w:rPr>
          <w:lang w:eastAsia="en-US"/>
        </w:rPr>
        <w:t>• Bespreking van de signalen met de interne begeleider en in een leerlingbespreking.</w:t>
      </w:r>
    </w:p>
    <w:p w:rsidR="005D0720" w:rsidRDefault="005D0720" w:rsidP="005D0720">
      <w:pPr>
        <w:spacing w:after="60"/>
        <w:ind w:left="284"/>
        <w:rPr>
          <w:lang w:eastAsia="en-US"/>
        </w:rPr>
      </w:pPr>
      <w:r>
        <w:rPr>
          <w:lang w:eastAsia="en-US"/>
        </w:rPr>
        <w:t>• Het inwinnen van extra informatie betreffende het gezin.</w:t>
      </w:r>
    </w:p>
    <w:p w:rsidR="005D0720" w:rsidRDefault="005D0720" w:rsidP="005D0720">
      <w:pPr>
        <w:spacing w:after="60"/>
        <w:ind w:left="284"/>
        <w:rPr>
          <w:lang w:eastAsia="en-US"/>
        </w:rPr>
      </w:pPr>
      <w:r>
        <w:rPr>
          <w:lang w:eastAsia="en-US"/>
        </w:rPr>
        <w:t>• Het maken van een plan van aanpak: wie doet wat en wanneer. Het plan wordt</w:t>
      </w:r>
    </w:p>
    <w:p w:rsidR="005D0720" w:rsidRDefault="005D0720" w:rsidP="005D0720">
      <w:pPr>
        <w:spacing w:after="60"/>
        <w:ind w:left="284"/>
        <w:rPr>
          <w:lang w:eastAsia="en-US"/>
        </w:rPr>
      </w:pPr>
      <w:r>
        <w:rPr>
          <w:lang w:eastAsia="en-US"/>
        </w:rPr>
        <w:t>besproken met de directie van de school.</w:t>
      </w:r>
    </w:p>
    <w:p w:rsidR="005D0720" w:rsidRDefault="005D0720" w:rsidP="005D0720">
      <w:pPr>
        <w:spacing w:before="240" w:after="40"/>
        <w:rPr>
          <w:b/>
          <w:lang w:eastAsia="en-US"/>
        </w:rPr>
      </w:pPr>
      <w:r>
        <w:rPr>
          <w:b/>
          <w:lang w:eastAsia="en-US"/>
        </w:rPr>
        <w:lastRenderedPageBreak/>
        <w:t>Fase 3 Uitvoeren van de afspraken uit het plan van aanpak</w:t>
      </w:r>
    </w:p>
    <w:p w:rsidR="005D0720" w:rsidRDefault="005D0720" w:rsidP="005D0720">
      <w:pPr>
        <w:spacing w:after="60"/>
        <w:ind w:left="284"/>
        <w:rPr>
          <w:lang w:eastAsia="en-US"/>
        </w:rPr>
      </w:pPr>
      <w:r>
        <w:rPr>
          <w:lang w:eastAsia="en-US"/>
        </w:rPr>
        <w:t>• De leerkracht observeert gericht.</w:t>
      </w:r>
    </w:p>
    <w:p w:rsidR="005D0720" w:rsidRDefault="005D0720" w:rsidP="005D0720">
      <w:pPr>
        <w:spacing w:after="60"/>
        <w:ind w:left="284"/>
        <w:rPr>
          <w:lang w:eastAsia="en-US"/>
        </w:rPr>
      </w:pPr>
      <w:r>
        <w:rPr>
          <w:lang w:eastAsia="en-US"/>
        </w:rPr>
        <w:t>• Er vindt een gesprek plaats met de ouders.</w:t>
      </w:r>
    </w:p>
    <w:p w:rsidR="005D0720" w:rsidRDefault="005D0720" w:rsidP="005D0720">
      <w:pPr>
        <w:spacing w:after="60"/>
        <w:ind w:left="284"/>
        <w:rPr>
          <w:lang w:eastAsia="en-US"/>
        </w:rPr>
      </w:pPr>
      <w:r>
        <w:rPr>
          <w:lang w:eastAsia="en-US"/>
        </w:rPr>
        <w:t>• Veilig thuis’ (voorheen AMK) wordt geconsulteerd.</w:t>
      </w:r>
    </w:p>
    <w:p w:rsidR="005D0720" w:rsidRDefault="005D0720" w:rsidP="005D0720">
      <w:pPr>
        <w:spacing w:after="60"/>
        <w:ind w:left="284"/>
        <w:rPr>
          <w:lang w:eastAsia="en-US"/>
        </w:rPr>
      </w:pPr>
      <w:r>
        <w:rPr>
          <w:lang w:eastAsia="en-US"/>
        </w:rPr>
        <w:t>• Jeugdgezondheidszorg wordt ingeschakeld.</w:t>
      </w:r>
    </w:p>
    <w:p w:rsidR="005D0720" w:rsidRDefault="005D0720" w:rsidP="005D0720">
      <w:pPr>
        <w:spacing w:after="60"/>
        <w:ind w:left="284"/>
        <w:rPr>
          <w:lang w:eastAsia="en-US"/>
        </w:rPr>
      </w:pPr>
    </w:p>
    <w:p w:rsidR="005D0720" w:rsidRDefault="005D0720" w:rsidP="005D0720">
      <w:pPr>
        <w:spacing w:after="200"/>
        <w:rPr>
          <w:b/>
          <w:lang w:eastAsia="en-US"/>
        </w:rPr>
      </w:pPr>
      <w:r>
        <w:rPr>
          <w:b/>
          <w:lang w:eastAsia="en-US"/>
        </w:rPr>
        <w:t>Fase 4 Het nemen van een besluit</w:t>
      </w:r>
    </w:p>
    <w:p w:rsidR="005D0720" w:rsidRDefault="005D0720" w:rsidP="005D0720">
      <w:pPr>
        <w:spacing w:after="60"/>
        <w:ind w:left="284"/>
        <w:rPr>
          <w:lang w:eastAsia="en-US"/>
        </w:rPr>
      </w:pPr>
      <w:r>
        <w:rPr>
          <w:lang w:eastAsia="en-US"/>
        </w:rPr>
        <w:t>• De interne begeleider bespreekt de resultaten uit fase 3 met de leerkrachten en de directie</w:t>
      </w:r>
    </w:p>
    <w:p w:rsidR="005D0720" w:rsidRDefault="005D0720" w:rsidP="005D0720">
      <w:pPr>
        <w:spacing w:after="60"/>
        <w:ind w:left="284"/>
        <w:rPr>
          <w:lang w:eastAsia="en-US"/>
        </w:rPr>
      </w:pPr>
      <w:r>
        <w:rPr>
          <w:lang w:eastAsia="en-US"/>
        </w:rPr>
        <w:t>• De school brengt de hulp op gang.</w:t>
      </w:r>
    </w:p>
    <w:p w:rsidR="005D0720" w:rsidRDefault="005D0720" w:rsidP="005D0720">
      <w:pPr>
        <w:spacing w:after="60"/>
        <w:ind w:left="284"/>
        <w:rPr>
          <w:lang w:eastAsia="en-US"/>
        </w:rPr>
      </w:pPr>
      <w:r>
        <w:rPr>
          <w:lang w:eastAsia="en-US"/>
        </w:rPr>
        <w:t>• De school meldt de problematiek bij ‘Veilig thuis’ (bij crisissituaties meldt de</w:t>
      </w:r>
    </w:p>
    <w:p w:rsidR="005D0720" w:rsidRDefault="005D0720" w:rsidP="005D0720">
      <w:pPr>
        <w:spacing w:after="60"/>
        <w:ind w:left="284"/>
        <w:rPr>
          <w:lang w:eastAsia="en-US"/>
        </w:rPr>
      </w:pPr>
      <w:r>
        <w:rPr>
          <w:lang w:eastAsia="en-US"/>
        </w:rPr>
        <w:t>school de situatie bij de politie of bij de raad voor de kinderbescherming).</w:t>
      </w:r>
    </w:p>
    <w:p w:rsidR="005D0720" w:rsidRDefault="005D0720" w:rsidP="005D0720">
      <w:pPr>
        <w:spacing w:before="240" w:after="40"/>
        <w:rPr>
          <w:b/>
          <w:lang w:eastAsia="en-US"/>
        </w:rPr>
      </w:pPr>
      <w:r>
        <w:rPr>
          <w:b/>
          <w:lang w:eastAsia="en-US"/>
        </w:rPr>
        <w:t>Fase 5 Het uitvoeren van een evaluatie</w:t>
      </w:r>
    </w:p>
    <w:p w:rsidR="005D0720" w:rsidRDefault="005D0720" w:rsidP="005D0720">
      <w:pPr>
        <w:spacing w:after="60"/>
        <w:ind w:left="284"/>
        <w:rPr>
          <w:lang w:eastAsia="en-US"/>
        </w:rPr>
      </w:pPr>
      <w:r>
        <w:rPr>
          <w:lang w:eastAsia="en-US"/>
        </w:rPr>
        <w:t>• De betrokkenen evalueren de aanpak.</w:t>
      </w:r>
    </w:p>
    <w:p w:rsidR="005D0720" w:rsidRDefault="005D0720" w:rsidP="005D0720">
      <w:pPr>
        <w:spacing w:after="60"/>
        <w:ind w:left="284"/>
        <w:rPr>
          <w:lang w:eastAsia="en-US"/>
        </w:rPr>
      </w:pPr>
      <w:r>
        <w:rPr>
          <w:lang w:eastAsia="en-US"/>
        </w:rPr>
        <w:t>• Zo nodig bijstellen van de basisaanpak voor een volgende keer.</w:t>
      </w:r>
    </w:p>
    <w:p w:rsidR="005D0720" w:rsidRDefault="005D0720" w:rsidP="005D0720">
      <w:pPr>
        <w:spacing w:before="240" w:after="40"/>
        <w:rPr>
          <w:b/>
          <w:lang w:eastAsia="en-US"/>
        </w:rPr>
      </w:pPr>
      <w:r>
        <w:rPr>
          <w:b/>
          <w:lang w:eastAsia="en-US"/>
        </w:rPr>
        <w:lastRenderedPageBreak/>
        <w:t>Fase 6 Nazorg</w:t>
      </w:r>
    </w:p>
    <w:p w:rsidR="005D0720" w:rsidRDefault="005D0720" w:rsidP="005D0720">
      <w:pPr>
        <w:spacing w:after="60"/>
        <w:ind w:left="284"/>
        <w:rPr>
          <w:lang w:eastAsia="en-US"/>
        </w:rPr>
      </w:pPr>
      <w:r>
        <w:rPr>
          <w:lang w:eastAsia="en-US"/>
        </w:rPr>
        <w:t>• De leerkracht blijft de leerling volgen.</w:t>
      </w:r>
    </w:p>
    <w:p w:rsidR="005D0720" w:rsidRDefault="005D0720" w:rsidP="005D0720">
      <w:pPr>
        <w:spacing w:after="60"/>
        <w:ind w:left="284"/>
      </w:pPr>
      <w:r>
        <w:rPr>
          <w:lang w:eastAsia="en-US"/>
        </w:rPr>
        <w:t>• Indien nodig grijpt de school opnieuw in</w:t>
      </w:r>
    </w:p>
    <w:bookmarkEnd w:id="0"/>
    <w:p w:rsidR="005D0720" w:rsidRDefault="005D0720" w:rsidP="005D0720"/>
    <w:p w:rsidR="005D0720" w:rsidRDefault="005D0720" w:rsidP="005D0720">
      <w:pPr>
        <w:spacing w:after="200"/>
      </w:pPr>
      <w:r>
        <w:rPr>
          <w:b/>
          <w:lang w:eastAsia="en-US"/>
        </w:rPr>
        <w:br w:type="page"/>
      </w:r>
    </w:p>
    <w:p w:rsidR="006F64AE" w:rsidRDefault="006F64AE"/>
    <w:sectPr w:rsidR="006F6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20"/>
    <w:rsid w:val="005D0720"/>
    <w:rsid w:val="006F64AE"/>
    <w:rsid w:val="007F6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22024-9E20-428A-AD7E-53E94789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0720"/>
    <w:pPr>
      <w:spacing w:after="120" w:line="276" w:lineRule="auto"/>
    </w:pPr>
    <w:rPr>
      <w:rFonts w:ascii="Arial" w:eastAsia="Times New Roman"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1552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Primair Onderwijs</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Minne Veninga</cp:lastModifiedBy>
  <cp:revision>2</cp:revision>
  <dcterms:created xsi:type="dcterms:W3CDTF">2017-02-14T11:51:00Z</dcterms:created>
  <dcterms:modified xsi:type="dcterms:W3CDTF">2017-02-14T11:51:00Z</dcterms:modified>
</cp:coreProperties>
</file>