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Montserrat" w:cs="Montserrat" w:eastAsia="Montserrat" w:hAnsi="Montserrat"/>
          <w:b w:val="1"/>
          <w:sz w:val="28"/>
          <w:szCs w:val="28"/>
          <w:u w:val="single"/>
        </w:rPr>
      </w:pPr>
      <w:r w:rsidDel="00000000" w:rsidR="00000000" w:rsidRPr="00000000">
        <w:rPr>
          <w:rFonts w:ascii="Montserrat" w:cs="Montserrat" w:eastAsia="Montserrat" w:hAnsi="Montserrat"/>
          <w:b w:val="1"/>
          <w:sz w:val="28"/>
          <w:szCs w:val="28"/>
          <w:u w:val="single"/>
          <w:rtl w:val="0"/>
        </w:rPr>
        <w:t xml:space="preserve">Tekst m.b.t. Verwijsindex in schoolgids</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Verwijsindex.</w:t>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tl w:val="0"/>
        </w:rPr>
        <w:t xml:space="preserve">Onze basisschool maakt gebruik van de “Verwijsindex”.</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De Verwijsindex is een digitaal systeem waarin we een signaal afgeven dat we betrokken zijn bij kinderen en jongeren tot 23 jaar. Door de melding in de verwijsindex weten wij sneller of een leerling ook bekend is bij andere professionals. Dankzij de Verwijsindex blijft iedereen in beeld en kunnen we onderling afstemmen om de leerling de best mogelijke ondersteuning te bieden.</w:t>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rtl w:val="0"/>
        </w:rPr>
        <w:t xml:space="preserve">De Verwijsindex houdt alleen bij of meerdere professionals op hetzelfde moment bij iemand betrokken zijn, en wie die professionals zijn. De enige informatie die wordt bijgehouden is de naam, het geslacht en geboortedatum, alsook de gegevens van de professional. Wat er precies aan de hand is, of waarom een professional betrokken is, wordt niet in de Verwijsindex vermeld.</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Uitgangspunt voor de 13 gemeenten van Zeeland is: Van ieder kind met een meer dan regulier zorgplan hoort een signaal in de Verwijsindex te staan.</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sectPr>
      <w:headerReference r:id="rId6" w:type="default"/>
      <w:pgSz w:h="16838" w:w="11906" w:orient="portrait"/>
      <w:pgMar w:bottom="1133.8582677165355" w:top="1133.8582677165355"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rFonts w:ascii="Montserrat" w:cs="Montserrat" w:eastAsia="Montserrat" w:hAnsi="Montserrat"/>
      <w:b w:val="1"/>
      <w:i w:val="1"/>
      <w:color w:val="666666"/>
      <w:u w:val="single"/>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