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EC" w:rsidRPr="00531DD6" w:rsidRDefault="00785924" w:rsidP="00531DD6">
      <w:pPr>
        <w:spacing w:line="276" w:lineRule="auto"/>
        <w:rPr>
          <w:rFonts w:asciiTheme="majorHAnsi" w:hAnsiTheme="majorHAnsi" w:cstheme="majorHAnsi"/>
          <w:sz w:val="22"/>
          <w:szCs w:val="22"/>
        </w:rPr>
      </w:pPr>
      <w:r>
        <w:rPr>
          <w:rFonts w:asciiTheme="majorHAnsi" w:hAnsiTheme="majorHAnsi" w:cstheme="majorHAnsi"/>
          <w:sz w:val="22"/>
          <w:szCs w:val="22"/>
        </w:rPr>
        <w:t>Bijlage 5</w:t>
      </w:r>
      <w:r w:rsidR="00BF1969">
        <w:rPr>
          <w:rFonts w:asciiTheme="majorHAnsi" w:hAnsiTheme="majorHAnsi" w:cstheme="majorHAnsi"/>
          <w:sz w:val="22"/>
          <w:szCs w:val="22"/>
        </w:rPr>
        <w:t xml:space="preserve"> Anti pestprotocol</w:t>
      </w:r>
    </w:p>
    <w:p w:rsidR="009D4683" w:rsidRPr="00531DD6" w:rsidRDefault="009D4683" w:rsidP="00531DD6">
      <w:pPr>
        <w:spacing w:line="276" w:lineRule="auto"/>
        <w:rPr>
          <w:rFonts w:asciiTheme="majorHAnsi" w:hAnsiTheme="majorHAnsi" w:cstheme="majorHAnsi"/>
          <w:sz w:val="22"/>
          <w:szCs w:val="22"/>
        </w:rPr>
      </w:pPr>
    </w:p>
    <w:p w:rsidR="009D4683" w:rsidRPr="00531DD6" w:rsidRDefault="009D4683" w:rsidP="00531DD6">
      <w:pPr>
        <w:pStyle w:val="Titel"/>
        <w:spacing w:line="276" w:lineRule="auto"/>
        <w:rPr>
          <w:rFonts w:asciiTheme="majorHAnsi" w:hAnsiTheme="majorHAnsi" w:cstheme="majorHAnsi"/>
          <w:sz w:val="22"/>
          <w:szCs w:val="22"/>
        </w:rPr>
      </w:pPr>
    </w:p>
    <w:p w:rsidR="009D4683" w:rsidRPr="00531DD6" w:rsidRDefault="009D4683" w:rsidP="00531DD6">
      <w:pPr>
        <w:pStyle w:val="Titel"/>
        <w:spacing w:line="276" w:lineRule="auto"/>
        <w:rPr>
          <w:rFonts w:asciiTheme="majorHAnsi" w:hAnsiTheme="majorHAnsi" w:cstheme="majorHAnsi"/>
          <w:sz w:val="22"/>
          <w:szCs w:val="22"/>
        </w:rPr>
      </w:pPr>
    </w:p>
    <w:p w:rsidR="009D4683" w:rsidRPr="00531DD6" w:rsidRDefault="009D4683" w:rsidP="00531DD6">
      <w:pPr>
        <w:pStyle w:val="Titel"/>
        <w:spacing w:line="276" w:lineRule="auto"/>
        <w:jc w:val="left"/>
        <w:rPr>
          <w:rFonts w:asciiTheme="majorHAnsi" w:hAnsiTheme="majorHAnsi" w:cstheme="majorHAnsi"/>
          <w:sz w:val="22"/>
          <w:szCs w:val="22"/>
        </w:rPr>
      </w:pPr>
    </w:p>
    <w:p w:rsidR="009D4683" w:rsidRPr="00531DD6" w:rsidRDefault="009D4683" w:rsidP="00531DD6">
      <w:pPr>
        <w:pStyle w:val="Titel"/>
        <w:spacing w:line="276" w:lineRule="auto"/>
        <w:jc w:val="left"/>
        <w:rPr>
          <w:rFonts w:asciiTheme="majorHAnsi" w:hAnsiTheme="majorHAnsi" w:cstheme="majorHAnsi"/>
          <w:sz w:val="22"/>
          <w:szCs w:val="22"/>
        </w:rPr>
      </w:pPr>
    </w:p>
    <w:p w:rsidR="009D4683" w:rsidRPr="00531DD6" w:rsidRDefault="009D4683" w:rsidP="00531DD6">
      <w:pPr>
        <w:pStyle w:val="Titel"/>
        <w:spacing w:line="276" w:lineRule="auto"/>
        <w:jc w:val="left"/>
        <w:rPr>
          <w:rFonts w:asciiTheme="majorHAnsi" w:hAnsiTheme="majorHAnsi" w:cstheme="majorHAnsi"/>
          <w:sz w:val="22"/>
          <w:szCs w:val="22"/>
        </w:rPr>
      </w:pPr>
    </w:p>
    <w:p w:rsidR="009D4683" w:rsidRPr="00531DD6" w:rsidRDefault="009D4683" w:rsidP="00531DD6">
      <w:pPr>
        <w:pStyle w:val="Titel"/>
        <w:spacing w:line="276" w:lineRule="auto"/>
        <w:jc w:val="left"/>
        <w:rPr>
          <w:rFonts w:asciiTheme="majorHAnsi" w:hAnsiTheme="majorHAnsi" w:cstheme="majorHAnsi"/>
          <w:sz w:val="22"/>
          <w:szCs w:val="22"/>
        </w:rPr>
      </w:pPr>
    </w:p>
    <w:p w:rsidR="009D4683" w:rsidRPr="00531DD6" w:rsidRDefault="009D4683" w:rsidP="000065BB">
      <w:pPr>
        <w:pStyle w:val="Titel"/>
        <w:spacing w:line="276" w:lineRule="auto"/>
        <w:rPr>
          <w:rFonts w:asciiTheme="majorHAnsi" w:hAnsiTheme="majorHAnsi" w:cstheme="majorHAnsi"/>
          <w:sz w:val="22"/>
          <w:szCs w:val="22"/>
        </w:rPr>
      </w:pPr>
    </w:p>
    <w:p w:rsidR="009D4683" w:rsidRPr="00531DD6" w:rsidRDefault="000065BB" w:rsidP="000065BB">
      <w:pPr>
        <w:pStyle w:val="Titel"/>
        <w:spacing w:line="276" w:lineRule="auto"/>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57C25643" wp14:editId="557436C8">
            <wp:extent cx="3421380" cy="2803254"/>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usel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8040" cy="2808711"/>
                    </a:xfrm>
                    <a:prstGeom prst="rect">
                      <a:avLst/>
                    </a:prstGeom>
                  </pic:spPr>
                </pic:pic>
              </a:graphicData>
            </a:graphic>
          </wp:inline>
        </w:drawing>
      </w:r>
      <w:bookmarkStart w:id="0" w:name="_GoBack"/>
      <w:bookmarkEnd w:id="0"/>
    </w:p>
    <w:p w:rsidR="009D4683" w:rsidRPr="00531DD6" w:rsidRDefault="009D4683" w:rsidP="00531DD6">
      <w:pPr>
        <w:pStyle w:val="Titel"/>
        <w:spacing w:line="276" w:lineRule="auto"/>
        <w:jc w:val="left"/>
        <w:rPr>
          <w:rFonts w:asciiTheme="majorHAnsi" w:hAnsiTheme="majorHAnsi" w:cstheme="majorHAnsi"/>
          <w:sz w:val="22"/>
          <w:szCs w:val="22"/>
        </w:rPr>
      </w:pPr>
    </w:p>
    <w:p w:rsidR="009D4683" w:rsidRDefault="009D4683"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Default="000065BB" w:rsidP="00531DD6">
      <w:pPr>
        <w:spacing w:line="276" w:lineRule="auto"/>
        <w:jc w:val="center"/>
        <w:rPr>
          <w:rFonts w:asciiTheme="majorHAnsi" w:hAnsiTheme="majorHAnsi" w:cstheme="majorHAnsi"/>
          <w:sz w:val="22"/>
          <w:szCs w:val="22"/>
        </w:rPr>
      </w:pPr>
    </w:p>
    <w:p w:rsidR="000065BB" w:rsidRPr="00531DD6" w:rsidRDefault="000065BB" w:rsidP="00531DD6">
      <w:pPr>
        <w:spacing w:line="276" w:lineRule="auto"/>
        <w:jc w:val="center"/>
        <w:rPr>
          <w:rFonts w:asciiTheme="majorHAnsi" w:hAnsiTheme="majorHAnsi" w:cstheme="majorHAnsi"/>
          <w:sz w:val="22"/>
          <w:szCs w:val="22"/>
        </w:rPr>
      </w:pPr>
    </w:p>
    <w:p w:rsidR="009D4683" w:rsidRPr="00531DD6" w:rsidRDefault="009D4683" w:rsidP="00531DD6">
      <w:pPr>
        <w:spacing w:line="276" w:lineRule="auto"/>
        <w:rPr>
          <w:rFonts w:asciiTheme="majorHAnsi" w:hAnsiTheme="majorHAnsi" w:cstheme="majorHAnsi"/>
          <w:sz w:val="22"/>
          <w:szCs w:val="22"/>
        </w:rPr>
      </w:pPr>
    </w:p>
    <w:p w:rsidR="009D4683" w:rsidRPr="00531DD6" w:rsidRDefault="009D4683" w:rsidP="00531DD6">
      <w:pPr>
        <w:spacing w:line="276" w:lineRule="auto"/>
        <w:jc w:val="center"/>
        <w:rPr>
          <w:rFonts w:asciiTheme="majorHAnsi" w:hAnsiTheme="majorHAnsi" w:cstheme="majorHAnsi"/>
          <w:sz w:val="22"/>
          <w:szCs w:val="22"/>
        </w:rPr>
      </w:pPr>
      <w:r w:rsidRPr="00531DD6">
        <w:rPr>
          <w:rFonts w:asciiTheme="majorHAnsi" w:hAnsiTheme="majorHAnsi" w:cstheme="majorHAnsi"/>
          <w:sz w:val="22"/>
          <w:szCs w:val="22"/>
        </w:rPr>
        <w:t>Anti pestprotocol</w:t>
      </w:r>
    </w:p>
    <w:p w:rsidR="009D4683" w:rsidRPr="00531DD6" w:rsidRDefault="009D4683" w:rsidP="00531DD6">
      <w:pPr>
        <w:spacing w:line="276" w:lineRule="auto"/>
        <w:rPr>
          <w:rFonts w:asciiTheme="majorHAnsi" w:hAnsiTheme="majorHAnsi" w:cstheme="majorHAnsi"/>
          <w:sz w:val="22"/>
          <w:szCs w:val="22"/>
        </w:rPr>
      </w:pPr>
      <w:r w:rsidRPr="00531DD6">
        <w:rPr>
          <w:rFonts w:asciiTheme="majorHAnsi" w:hAnsiTheme="majorHAnsi" w:cstheme="majorHAnsi"/>
          <w:sz w:val="22"/>
          <w:szCs w:val="22"/>
        </w:rPr>
        <w:br w:type="page"/>
      </w:r>
    </w:p>
    <w:p w:rsidR="009D4683" w:rsidRPr="00001465" w:rsidRDefault="000928A9" w:rsidP="00001465">
      <w:pPr>
        <w:spacing w:line="276" w:lineRule="auto"/>
        <w:rPr>
          <w:rStyle w:val="Kop1Char"/>
          <w:rFonts w:cstheme="majorHAnsi"/>
          <w:color w:val="auto"/>
          <w:sz w:val="22"/>
          <w:szCs w:val="22"/>
        </w:rPr>
      </w:pPr>
      <w:r w:rsidRPr="00001465">
        <w:rPr>
          <w:rStyle w:val="Kop1Char"/>
          <w:rFonts w:cstheme="majorHAnsi"/>
          <w:color w:val="auto"/>
          <w:sz w:val="22"/>
          <w:szCs w:val="22"/>
        </w:rPr>
        <w:lastRenderedPageBreak/>
        <w:t>Anti pestprotocol</w:t>
      </w:r>
    </w:p>
    <w:p w:rsidR="000928A9" w:rsidRPr="00001465" w:rsidRDefault="000928A9" w:rsidP="00001465">
      <w:pPr>
        <w:spacing w:line="276" w:lineRule="auto"/>
        <w:rPr>
          <w:rStyle w:val="Kop1Char"/>
          <w:rFonts w:cstheme="majorHAnsi"/>
          <w:color w:val="auto"/>
          <w:sz w:val="22"/>
          <w:szCs w:val="22"/>
        </w:rPr>
      </w:pPr>
    </w:p>
    <w:p w:rsidR="00785924" w:rsidRPr="00001465" w:rsidRDefault="00785924" w:rsidP="00001465">
      <w:pPr>
        <w:pStyle w:val="Normaalweb"/>
        <w:spacing w:after="300" w:line="276" w:lineRule="auto"/>
        <w:rPr>
          <w:rFonts w:asciiTheme="majorHAnsi" w:hAnsiTheme="majorHAnsi" w:cstheme="majorHAnsi"/>
          <w:sz w:val="22"/>
          <w:szCs w:val="22"/>
        </w:rPr>
      </w:pPr>
      <w:r w:rsidRPr="00001465">
        <w:rPr>
          <w:rFonts w:asciiTheme="majorHAnsi" w:hAnsiTheme="majorHAnsi" w:cstheme="majorHAnsi"/>
          <w:sz w:val="22"/>
          <w:szCs w:val="22"/>
        </w:rPr>
        <w:t xml:space="preserve">Op </w:t>
      </w:r>
      <w:r w:rsidR="000065BB">
        <w:rPr>
          <w:rFonts w:asciiTheme="majorHAnsi" w:hAnsiTheme="majorHAnsi" w:cstheme="majorHAnsi"/>
          <w:sz w:val="22"/>
          <w:szCs w:val="22"/>
        </w:rPr>
        <w:t>‘t Tuselant</w:t>
      </w:r>
      <w:r w:rsidRPr="00001465">
        <w:rPr>
          <w:rFonts w:asciiTheme="majorHAnsi" w:hAnsiTheme="majorHAnsi" w:cstheme="majorHAnsi"/>
          <w:sz w:val="22"/>
          <w:szCs w:val="22"/>
        </w:rPr>
        <w:t xml:space="preserve"> werken wij volgens de methode ‘De Vreedzame School’. Met het programma De</w:t>
      </w:r>
      <w:r w:rsidR="000928A9" w:rsidRPr="00001465">
        <w:rPr>
          <w:rFonts w:asciiTheme="majorHAnsi" w:hAnsiTheme="majorHAnsi" w:cstheme="majorHAnsi"/>
          <w:sz w:val="22"/>
          <w:szCs w:val="22"/>
        </w:rPr>
        <w:t xml:space="preserve"> Vreedzame School werkt </w:t>
      </w:r>
      <w:r w:rsidR="000065BB">
        <w:rPr>
          <w:rFonts w:asciiTheme="majorHAnsi" w:hAnsiTheme="majorHAnsi" w:cstheme="majorHAnsi"/>
          <w:sz w:val="22"/>
          <w:szCs w:val="22"/>
        </w:rPr>
        <w:t>‘t Tuselant</w:t>
      </w:r>
      <w:r w:rsidRPr="00001465">
        <w:rPr>
          <w:rFonts w:asciiTheme="majorHAnsi" w:hAnsiTheme="majorHAnsi" w:cstheme="majorHAnsi"/>
          <w:sz w:val="22"/>
          <w:szCs w:val="22"/>
        </w:rPr>
        <w:t xml:space="preserve"> aan de preventie van pesten. Toch kunnen er ook op vreedzame scholen wel eens pestsituaties voorkomen. De programmamakers hebben hiervoor een aanpak uitgewerkt, die ingezet kan worden als aanvulling op het lesprogramma.</w:t>
      </w:r>
    </w:p>
    <w:p w:rsidR="00001465" w:rsidRDefault="00785924" w:rsidP="00001465">
      <w:pPr>
        <w:pStyle w:val="Lijstalinea"/>
        <w:numPr>
          <w:ilvl w:val="0"/>
          <w:numId w:val="31"/>
        </w:numPr>
        <w:spacing w:line="276" w:lineRule="auto"/>
        <w:rPr>
          <w:rFonts w:asciiTheme="majorHAnsi" w:hAnsiTheme="majorHAnsi" w:cstheme="majorHAnsi"/>
          <w:sz w:val="22"/>
          <w:szCs w:val="22"/>
        </w:rPr>
      </w:pPr>
      <w:r w:rsidRPr="00001465">
        <w:rPr>
          <w:rFonts w:asciiTheme="majorHAnsi" w:hAnsiTheme="majorHAnsi" w:cstheme="majorHAnsi"/>
          <w:b/>
          <w:sz w:val="22"/>
          <w:szCs w:val="22"/>
        </w:rPr>
        <w:t>Wettelijk kader</w:t>
      </w:r>
    </w:p>
    <w:p w:rsidR="00785924" w:rsidRPr="00001465" w:rsidRDefault="00785924"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Sinds augustus 2015 zijn scholen wettelijk verplicht om zorg te dragen voor de sociale veiligheid. Concreet betekent dit dat ze een sociaal veiligheidsbeleid en een anti-pestcoördinator moeten hebben, en dat ze de sociale veiligheid jaarlijkse monitoren.</w:t>
      </w:r>
      <w:r w:rsidR="000928A9" w:rsidRPr="00001465">
        <w:rPr>
          <w:rFonts w:asciiTheme="majorHAnsi" w:hAnsiTheme="majorHAnsi" w:cstheme="majorHAnsi"/>
          <w:sz w:val="22"/>
          <w:szCs w:val="22"/>
        </w:rPr>
        <w:t xml:space="preserve"> </w:t>
      </w:r>
    </w:p>
    <w:p w:rsidR="00785924" w:rsidRPr="00001465" w:rsidRDefault="00785924" w:rsidP="00001465">
      <w:pPr>
        <w:spacing w:line="276" w:lineRule="auto"/>
        <w:rPr>
          <w:rFonts w:asciiTheme="majorHAnsi" w:hAnsiTheme="majorHAnsi" w:cstheme="majorHAnsi"/>
          <w:sz w:val="22"/>
          <w:szCs w:val="22"/>
        </w:rPr>
      </w:pPr>
    </w:p>
    <w:p w:rsidR="00001465" w:rsidRDefault="00785924" w:rsidP="00001465">
      <w:pPr>
        <w:pStyle w:val="Lijstalinea"/>
        <w:numPr>
          <w:ilvl w:val="0"/>
          <w:numId w:val="31"/>
        </w:numPr>
        <w:spacing w:line="276" w:lineRule="auto"/>
        <w:rPr>
          <w:rFonts w:asciiTheme="majorHAnsi" w:hAnsiTheme="majorHAnsi" w:cstheme="majorHAnsi"/>
          <w:sz w:val="22"/>
          <w:szCs w:val="22"/>
        </w:rPr>
      </w:pPr>
      <w:r w:rsidRPr="00001465">
        <w:rPr>
          <w:rFonts w:asciiTheme="majorHAnsi" w:hAnsiTheme="majorHAnsi" w:cstheme="majorHAnsi"/>
          <w:b/>
          <w:sz w:val="22"/>
          <w:szCs w:val="22"/>
        </w:rPr>
        <w:t>Pesten voorkomen</w:t>
      </w:r>
    </w:p>
    <w:p w:rsidR="00785924" w:rsidRPr="00001465" w:rsidRDefault="00785924"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Een cultuur van competitie en individualisme is een voedingsbodem voor pestgedrag. De Vreedzame School biedt tegenwicht aan dit mechanisme. Het programma helpt om op school en in de klas te bouwen aan een positieve en sociale gemeenschap. Kenmerkend voor deze gemeenschap: we hebben oog voor elkaar, we houden rekening met elkaar en we dragen allemaal verantwoordelijkheid dragen voor de gemeenschap. </w:t>
      </w:r>
    </w:p>
    <w:p w:rsidR="00785924" w:rsidRPr="00785924" w:rsidRDefault="00785924" w:rsidP="00001465">
      <w:pPr>
        <w:spacing w:line="276" w:lineRule="auto"/>
        <w:rPr>
          <w:rFonts w:asciiTheme="majorHAnsi" w:hAnsiTheme="majorHAnsi" w:cstheme="majorHAnsi"/>
          <w:sz w:val="22"/>
          <w:szCs w:val="22"/>
        </w:rPr>
      </w:pPr>
      <w:r w:rsidRPr="00785924">
        <w:rPr>
          <w:rFonts w:asciiTheme="majorHAnsi" w:hAnsiTheme="majorHAnsi" w:cstheme="majorHAnsi"/>
          <w:sz w:val="22"/>
          <w:szCs w:val="22"/>
        </w:rPr>
        <w:t>Het programma gaat in op de spanning tussen het recht om jezelf te zijn en de plicht om ervoor te zorgen dat ieder ander dat recht ook heeft. In de lessen gaan onder meer expliciet in op (digitaal) pesten en plagen en wat je daaraan kunt doen.</w:t>
      </w:r>
    </w:p>
    <w:p w:rsidR="00785924" w:rsidRPr="00001465" w:rsidRDefault="00785924" w:rsidP="00001465">
      <w:pPr>
        <w:spacing w:line="276" w:lineRule="auto"/>
        <w:rPr>
          <w:rFonts w:asciiTheme="majorHAnsi" w:hAnsiTheme="majorHAnsi" w:cstheme="majorHAnsi"/>
          <w:sz w:val="22"/>
          <w:szCs w:val="22"/>
        </w:rPr>
      </w:pPr>
    </w:p>
    <w:p w:rsidR="00001465" w:rsidRPr="00001465" w:rsidRDefault="00001465" w:rsidP="00001465">
      <w:pPr>
        <w:pStyle w:val="Lijstalinea"/>
        <w:numPr>
          <w:ilvl w:val="0"/>
          <w:numId w:val="31"/>
        </w:numPr>
        <w:spacing w:line="276" w:lineRule="auto"/>
        <w:rPr>
          <w:rFonts w:asciiTheme="majorHAnsi" w:hAnsiTheme="majorHAnsi" w:cstheme="majorHAnsi"/>
          <w:sz w:val="22"/>
          <w:szCs w:val="22"/>
        </w:rPr>
      </w:pPr>
      <w:r>
        <w:rPr>
          <w:rFonts w:asciiTheme="majorHAnsi" w:hAnsiTheme="majorHAnsi" w:cstheme="majorHAnsi"/>
          <w:b/>
          <w:sz w:val="22"/>
          <w:szCs w:val="22"/>
        </w:rPr>
        <w:t>Effecten van De Vreedzame School</w:t>
      </w:r>
    </w:p>
    <w:p w:rsidR="00785924" w:rsidRPr="00001465" w:rsidRDefault="00785924"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Door het programma ontstaat een ‘inclusief’ klimaat, waarin sprake is van verbinding en niemand wordt buitengesloten. In het </w:t>
      </w:r>
      <w:hyperlink r:id="rId9" w:tgtFrame="_blank" w:history="1">
        <w:r w:rsidRPr="00001465">
          <w:rPr>
            <w:rFonts w:asciiTheme="majorHAnsi" w:hAnsiTheme="majorHAnsi" w:cstheme="majorHAnsi"/>
            <w:sz w:val="22"/>
            <w:szCs w:val="22"/>
            <w:u w:val="single"/>
          </w:rPr>
          <w:t>evaluatieonderzoek (Pauw, 2013)</w:t>
        </w:r>
      </w:hyperlink>
      <w:r w:rsidRPr="00001465">
        <w:rPr>
          <w:rFonts w:asciiTheme="majorHAnsi" w:hAnsiTheme="majorHAnsi" w:cstheme="majorHAnsi"/>
          <w:sz w:val="22"/>
          <w:szCs w:val="22"/>
        </w:rPr>
        <w:t xml:space="preserve"> gaven leerkrachten en schoolleiders aan dat het programma een positieve invloed heeft op het gedrag van de leerlingen. Met het programma wordt ongewenst gedrag als pesten veelal voorkomen. De commissie Antipestprogramma’s van het </w:t>
      </w:r>
      <w:proofErr w:type="spellStart"/>
      <w:r w:rsidRPr="00001465">
        <w:rPr>
          <w:rFonts w:asciiTheme="majorHAnsi" w:hAnsiTheme="majorHAnsi" w:cstheme="majorHAnsi"/>
          <w:sz w:val="22"/>
          <w:szCs w:val="22"/>
        </w:rPr>
        <w:t>NjI</w:t>
      </w:r>
      <w:proofErr w:type="spellEnd"/>
      <w:r w:rsidRPr="00001465">
        <w:rPr>
          <w:rFonts w:asciiTheme="majorHAnsi" w:hAnsiTheme="majorHAnsi" w:cstheme="majorHAnsi"/>
          <w:sz w:val="22"/>
          <w:szCs w:val="22"/>
        </w:rPr>
        <w:t xml:space="preserve"> onderschrijft de theoretische onderbouwing van De Vreedzame School.</w:t>
      </w:r>
    </w:p>
    <w:p w:rsidR="00785924" w:rsidRPr="00001465" w:rsidRDefault="00785924" w:rsidP="00001465">
      <w:pPr>
        <w:spacing w:line="276" w:lineRule="auto"/>
        <w:rPr>
          <w:rFonts w:asciiTheme="majorHAnsi" w:hAnsiTheme="majorHAnsi" w:cstheme="majorHAnsi"/>
          <w:sz w:val="22"/>
          <w:szCs w:val="22"/>
        </w:rPr>
      </w:pPr>
    </w:p>
    <w:p w:rsidR="00785924" w:rsidRPr="00001465" w:rsidRDefault="00785924" w:rsidP="00001465">
      <w:pPr>
        <w:pStyle w:val="Lijstalinea"/>
        <w:numPr>
          <w:ilvl w:val="0"/>
          <w:numId w:val="31"/>
        </w:numPr>
        <w:spacing w:line="276" w:lineRule="auto"/>
        <w:rPr>
          <w:rFonts w:asciiTheme="majorHAnsi" w:hAnsiTheme="majorHAnsi" w:cstheme="majorHAnsi"/>
          <w:b/>
          <w:sz w:val="22"/>
          <w:szCs w:val="22"/>
        </w:rPr>
      </w:pPr>
      <w:r w:rsidRPr="00001465">
        <w:rPr>
          <w:rFonts w:asciiTheme="majorHAnsi" w:hAnsiTheme="majorHAnsi" w:cstheme="majorHAnsi"/>
          <w:b/>
          <w:sz w:val="22"/>
          <w:szCs w:val="22"/>
        </w:rPr>
        <w:t>Pesten op De Kluft</w:t>
      </w:r>
    </w:p>
    <w:p w:rsidR="000928A9" w:rsidRDefault="00785924" w:rsidP="00001465">
      <w:pPr>
        <w:widowControl w:val="0"/>
        <w:spacing w:line="276" w:lineRule="auto"/>
        <w:rPr>
          <w:rFonts w:asciiTheme="majorHAnsi" w:hAnsiTheme="majorHAnsi" w:cstheme="majorHAnsi"/>
          <w:kern w:val="28"/>
          <w:sz w:val="22"/>
          <w:szCs w:val="22"/>
          <w14:cntxtAlts/>
        </w:rPr>
      </w:pPr>
      <w:r w:rsidRPr="00001465">
        <w:rPr>
          <w:rFonts w:asciiTheme="majorHAnsi" w:hAnsiTheme="majorHAnsi" w:cstheme="majorHAnsi"/>
          <w:sz w:val="22"/>
          <w:szCs w:val="22"/>
        </w:rPr>
        <w:t xml:space="preserve">Door inzet van het programma De Vreedzame School komt </w:t>
      </w:r>
      <w:r w:rsidR="000928A9" w:rsidRPr="00001465">
        <w:rPr>
          <w:rFonts w:asciiTheme="majorHAnsi" w:hAnsiTheme="majorHAnsi" w:cstheme="majorHAnsi"/>
          <w:sz w:val="22"/>
          <w:szCs w:val="22"/>
        </w:rPr>
        <w:t xml:space="preserve">op </w:t>
      </w:r>
      <w:r w:rsidR="000065BB">
        <w:rPr>
          <w:rFonts w:asciiTheme="majorHAnsi" w:hAnsiTheme="majorHAnsi" w:cstheme="majorHAnsi"/>
          <w:sz w:val="22"/>
          <w:szCs w:val="22"/>
        </w:rPr>
        <w:t>‘t Tuselant</w:t>
      </w:r>
      <w:r w:rsidR="000928A9" w:rsidRPr="00001465">
        <w:rPr>
          <w:rFonts w:asciiTheme="majorHAnsi" w:hAnsiTheme="majorHAnsi" w:cstheme="majorHAnsi"/>
          <w:sz w:val="22"/>
          <w:szCs w:val="22"/>
        </w:rPr>
        <w:t xml:space="preserve"> </w:t>
      </w:r>
      <w:r w:rsidRPr="00001465">
        <w:rPr>
          <w:rFonts w:asciiTheme="majorHAnsi" w:hAnsiTheme="majorHAnsi" w:cstheme="majorHAnsi"/>
          <w:sz w:val="22"/>
          <w:szCs w:val="22"/>
        </w:rPr>
        <w:t xml:space="preserve">pesten nauwelijks voor. </w:t>
      </w:r>
      <w:r w:rsidR="000928A9" w:rsidRPr="00001465">
        <w:rPr>
          <w:rFonts w:asciiTheme="majorHAnsi" w:hAnsiTheme="majorHAnsi" w:cstheme="majorHAnsi"/>
          <w:kern w:val="28"/>
          <w:sz w:val="22"/>
          <w:szCs w:val="22"/>
          <w14:cntxtAlts/>
        </w:rPr>
        <w:t xml:space="preserve">Met enige regelmaat verzamelen we als school allerlei gegevens om de tevredenheid met en het welbevinden op onze school te 'meten'. Wij vragen de kinderen van de groepen 5, 6 , 7 en 8  jaarlijks begin maart een vragenlijst betreffende ‘Veiligheid’ in te vullen. We zijn vooral erg trots op het feit dat de scores, ondanks dat ze al goed zijn, ieder schooljaar verbeteren. </w:t>
      </w: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Default="00001465" w:rsidP="00001465">
      <w:pPr>
        <w:widowControl w:val="0"/>
        <w:spacing w:line="276" w:lineRule="auto"/>
        <w:rPr>
          <w:rFonts w:asciiTheme="majorHAnsi" w:hAnsiTheme="majorHAnsi" w:cstheme="majorHAnsi"/>
          <w:kern w:val="28"/>
          <w:sz w:val="22"/>
          <w:szCs w:val="22"/>
          <w14:cntxtAlts/>
        </w:rPr>
      </w:pPr>
    </w:p>
    <w:p w:rsidR="00001465" w:rsidRPr="000928A9" w:rsidRDefault="00001465" w:rsidP="00001465">
      <w:pPr>
        <w:widowControl w:val="0"/>
        <w:spacing w:line="276" w:lineRule="auto"/>
        <w:rPr>
          <w:rFonts w:asciiTheme="majorHAnsi" w:hAnsiTheme="majorHAnsi" w:cstheme="majorHAnsi"/>
          <w:kern w:val="28"/>
          <w:sz w:val="22"/>
          <w:szCs w:val="22"/>
          <w14:cntxtAlts/>
        </w:rPr>
      </w:pPr>
    </w:p>
    <w:p w:rsidR="00785924" w:rsidRPr="00001465" w:rsidRDefault="00785924" w:rsidP="00001465">
      <w:pPr>
        <w:spacing w:line="276" w:lineRule="auto"/>
        <w:rPr>
          <w:rFonts w:asciiTheme="majorHAnsi" w:hAnsiTheme="majorHAnsi" w:cstheme="majorHAnsi"/>
          <w:sz w:val="22"/>
          <w:szCs w:val="22"/>
        </w:rPr>
      </w:pPr>
    </w:p>
    <w:p w:rsidR="000928A9" w:rsidRPr="000928A9" w:rsidRDefault="000928A9" w:rsidP="00001465">
      <w:pPr>
        <w:spacing w:line="276" w:lineRule="auto"/>
        <w:rPr>
          <w:rFonts w:asciiTheme="majorHAnsi" w:hAnsiTheme="majorHAnsi" w:cstheme="majorHAnsi"/>
          <w:sz w:val="22"/>
          <w:szCs w:val="22"/>
        </w:rPr>
      </w:pPr>
      <w:r w:rsidRPr="000928A9">
        <w:rPr>
          <w:rFonts w:asciiTheme="majorHAnsi" w:hAnsiTheme="majorHAnsi" w:cstheme="majorHAnsi"/>
          <w:noProof/>
          <w:sz w:val="22"/>
          <w:szCs w:val="22"/>
        </w:rPr>
        <mc:AlternateContent>
          <mc:Choice Requires="wps">
            <w:drawing>
              <wp:anchor distT="36576" distB="36576" distL="36576" distR="36576" simplePos="0" relativeHeight="251659264" behindDoc="0" locked="0" layoutInCell="1" allowOverlap="1" wp14:anchorId="62F769EF" wp14:editId="48A7DF19">
                <wp:simplePos x="0" y="0"/>
                <wp:positionH relativeFrom="column">
                  <wp:posOffset>817245</wp:posOffset>
                </wp:positionH>
                <wp:positionV relativeFrom="paragraph">
                  <wp:posOffset>7043420</wp:posOffset>
                </wp:positionV>
                <wp:extent cx="5715000" cy="2514600"/>
                <wp:effectExtent l="0" t="4445" r="1905"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15000" cy="25146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C042" id="Control 3" o:spid="_x0000_s1026" style="position:absolute;margin-left:64.35pt;margin-top:554.6pt;width:450pt;height:19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wD7QIAABoGAAAOAAAAZHJzL2Uyb0RvYy54bWysVF1v0zAUfUfiP1h+z/LRtGmjpVPbtQhp&#10;wKQN8ezGTmMtsYPtNh2I/8613XQrvCDgxbq+to/PPffj+ubYNujAlOZSFDi+ijBiopSUi12BPz9u&#10;gilG2hBBSSMFK/Az0/hm/vbNdd/lLJG1bChTCECEzvuuwLUxXR6GuqxZS/SV7JiAw0qqlhjYql1I&#10;FekBvW3CJIomYS8V7ZQsmdbgvfWHeO7wq4qV5lNVaWZQU2DgZtyq3Lq1azi/JvlOka7m5YkG+QsW&#10;LeECPj1D3RJD0F7x36BaXiqpZWWuStmGsqp4yVwMEE0c/RLNQ0065mIBcXR3lkn/P9jy4+FeIU4L&#10;nGAkSAspWklhlGzQyIrTdzqHOw/dvbLh6e5Olk8aCbmqidixhVKyrxmhQCkGgJPbEX987gAttijh&#10;BYzdaABE2/6DpHCH7I106h0r1dpvQBd0dEl6PieJHQ0qwTnO4nEUQS5LOEvGcTqBjf2D5MPzTmnz&#10;jskWWaPACqrAwZPDnTb+6nDF/ibkhjcN+EneiAsHYHoPc6XkX5McqIBpb1pSLs3fZ3GSRstkFmwm&#10;0yxIN+k4mGXRNIji2XI2idJZerv5YVnEaV5zSpm444INJRenf5bSU/H7YnFFh3qrQgoaXDAnecsN&#10;dFbD2wJPQS8vEsltstaCumgN4Y23w0taTk2I7TLExWYcZeloGmTZeBSko3UULKebVbBYxZNJtl6u&#10;luv4MsS1k03/e5SOyJADu5F7iO6hpj2i3OZ4NJ4lUICUQ28nmY8XkWYHQ6k0CiMlzRdualeYtqQs&#10;hhsybNUodCAwHuhT7NzNvoWy9L7TgAAXjJFXLiiM82sn1pmPl+6F6itlT2q8iAsoQym5DrFN4Vtu&#10;K+kzNAiwdl0AAxaMWqpvGPUwrAqsv+6JYhg17wW0np1sg6EGYzsYRJTwtMAGI2+ujJ+A+07xXQ3I&#10;PnAhF9CIFXctYpvUswC+dgMDyDE/DUs74V7v3a2XkT7/CQAA//8DAFBLAwQUAAYACAAAACEAhnAG&#10;Tt4AAAAOAQAADwAAAGRycy9kb3ducmV2LnhtbEyPQU/DMAyF70j8h8hI3FiySoNSmk7TJnZFDC7c&#10;ssa0FY1TkmwL/Ho8LnB7z356/lwvsxvFEUMcPGmYzxQIpNbbgToNry+PNyWImAxZM3pCDV8YYdlc&#10;XtSmsv5Ez3jcpU5wCcXKaOhTmiopY9ujM3HmJyTevfvgTGIbOmmDOXG5G2Wh1K10ZiC+0JsJ1z22&#10;H7uD05BLu/VqY7/dav2Uw1u33YRPp/X1VV49gEiY018YzviMDg0z7f2BbBQj+6K84yiLubovQJwj&#10;6ne2Z7VQiwJkU8v/bzQ/AAAA//8DAFBLAQItABQABgAIAAAAIQC2gziS/gAAAOEBAAATAAAAAAAA&#10;AAAAAAAAAAAAAABbQ29udGVudF9UeXBlc10ueG1sUEsBAi0AFAAGAAgAAAAhADj9If/WAAAAlAEA&#10;AAsAAAAAAAAAAAAAAAAALwEAAF9yZWxzLy5yZWxzUEsBAi0AFAAGAAgAAAAhAIizzAPtAgAAGgYA&#10;AA4AAAAAAAAAAAAAAAAALgIAAGRycy9lMm9Eb2MueG1sUEsBAi0AFAAGAAgAAAAhAIZwBk7eAAAA&#10;DgEAAA8AAAAAAAAAAAAAAAAARwUAAGRycy9kb3ducmV2LnhtbFBLBQYAAAAABAAEAPMAAABSBgAA&#10;AAA=&#10;" filled="f" stroked="f" strokeweight="2pt">
                <v:shadow color="black [0]"/>
                <o:lock v:ext="edit" shapetype="t"/>
                <v:textbox inset="0,0,0,0"/>
              </v:rect>
            </w:pict>
          </mc:Fallback>
        </mc:AlternateContent>
      </w:r>
    </w:p>
    <w:tbl>
      <w:tblPr>
        <w:tblStyle w:val="Tabelraster"/>
        <w:tblW w:w="0" w:type="auto"/>
        <w:tblLook w:val="04A0" w:firstRow="1" w:lastRow="0" w:firstColumn="1" w:lastColumn="0" w:noHBand="0" w:noVBand="1"/>
      </w:tblPr>
      <w:tblGrid>
        <w:gridCol w:w="4531"/>
        <w:gridCol w:w="4531"/>
      </w:tblGrid>
      <w:tr w:rsidR="000065BB" w:rsidTr="00955F8D">
        <w:tc>
          <w:tcPr>
            <w:tcW w:w="4531" w:type="dxa"/>
            <w:shd w:val="clear" w:color="auto" w:fill="66FF66"/>
          </w:tcPr>
          <w:p w:rsidR="000065BB" w:rsidRPr="000065BB" w:rsidRDefault="000065BB" w:rsidP="00955F8D">
            <w:pPr>
              <w:rPr>
                <w:rFonts w:ascii="Arial" w:hAnsi="Arial" w:cs="Arial"/>
              </w:rPr>
            </w:pPr>
            <w:r w:rsidRPr="000065BB">
              <w:rPr>
                <w:rFonts w:ascii="Arial" w:hAnsi="Arial" w:cs="Arial"/>
              </w:rPr>
              <w:t>VEILIGHEID</w:t>
            </w:r>
          </w:p>
        </w:tc>
        <w:tc>
          <w:tcPr>
            <w:tcW w:w="4531" w:type="dxa"/>
            <w:shd w:val="clear" w:color="auto" w:fill="66FFFF"/>
          </w:tcPr>
          <w:p w:rsidR="000065BB" w:rsidRPr="000065BB" w:rsidRDefault="000065BB" w:rsidP="00955F8D">
            <w:pPr>
              <w:rPr>
                <w:rFonts w:ascii="Arial" w:hAnsi="Arial" w:cs="Arial"/>
              </w:rPr>
            </w:pPr>
            <w:r w:rsidRPr="000065BB">
              <w:rPr>
                <w:rFonts w:ascii="Arial" w:hAnsi="Arial" w:cs="Arial"/>
              </w:rPr>
              <w:t>SCORE LEERLINGEN 2020</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Veiligheidsbeleving</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Goed</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Optreden van de leraar</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Ruim voldoende</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Opstelling van de leerling</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Voldoende</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Welbevinden</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Ruim voldoende</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Fysieke veiligheid</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Goed</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Sociale veiligheid</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Goed</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Psychische veiligheid</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Goed</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Materiele zaken</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Goed</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Veiligheid op school; ik geef het cijfer</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8.8</w:t>
            </w:r>
          </w:p>
        </w:tc>
      </w:tr>
      <w:tr w:rsidR="000065BB" w:rsidTr="00955F8D">
        <w:tc>
          <w:tcPr>
            <w:tcW w:w="4531" w:type="dxa"/>
          </w:tcPr>
          <w:p w:rsidR="000065BB" w:rsidRPr="000065BB" w:rsidRDefault="000065BB" w:rsidP="00955F8D">
            <w:pPr>
              <w:rPr>
                <w:rFonts w:ascii="Arial" w:hAnsi="Arial" w:cs="Arial"/>
                <w:sz w:val="22"/>
              </w:rPr>
            </w:pPr>
            <w:r w:rsidRPr="000065BB">
              <w:rPr>
                <w:rFonts w:ascii="Arial" w:hAnsi="Arial" w:cs="Arial"/>
                <w:sz w:val="22"/>
              </w:rPr>
              <w:t>Naar mijn zin; Ik geef  het cijfer</w:t>
            </w:r>
          </w:p>
          <w:p w:rsidR="000065BB" w:rsidRPr="000065BB" w:rsidRDefault="000065BB" w:rsidP="00955F8D">
            <w:pPr>
              <w:rPr>
                <w:rFonts w:ascii="Arial" w:hAnsi="Arial" w:cs="Arial"/>
                <w:sz w:val="22"/>
              </w:rPr>
            </w:pPr>
          </w:p>
        </w:tc>
        <w:tc>
          <w:tcPr>
            <w:tcW w:w="4531" w:type="dxa"/>
          </w:tcPr>
          <w:p w:rsidR="000065BB" w:rsidRPr="000065BB" w:rsidRDefault="000065BB" w:rsidP="00955F8D">
            <w:pPr>
              <w:rPr>
                <w:rFonts w:ascii="Arial" w:hAnsi="Arial" w:cs="Arial"/>
                <w:sz w:val="22"/>
              </w:rPr>
            </w:pPr>
            <w:r w:rsidRPr="000065BB">
              <w:rPr>
                <w:rFonts w:ascii="Arial" w:hAnsi="Arial" w:cs="Arial"/>
                <w:sz w:val="22"/>
              </w:rPr>
              <w:t>8.1</w:t>
            </w:r>
          </w:p>
        </w:tc>
      </w:tr>
    </w:tbl>
    <w:p w:rsidR="00785924" w:rsidRPr="00001465" w:rsidRDefault="00785924" w:rsidP="00001465">
      <w:pPr>
        <w:spacing w:line="276" w:lineRule="auto"/>
        <w:rPr>
          <w:rFonts w:asciiTheme="majorHAnsi" w:hAnsiTheme="majorHAnsi" w:cstheme="majorHAnsi"/>
          <w:sz w:val="22"/>
          <w:szCs w:val="22"/>
        </w:rPr>
      </w:pPr>
    </w:p>
    <w:p w:rsidR="00785924" w:rsidRPr="00785924" w:rsidRDefault="00785924" w:rsidP="00001465">
      <w:pPr>
        <w:spacing w:line="276" w:lineRule="auto"/>
        <w:rPr>
          <w:rFonts w:asciiTheme="majorHAnsi" w:hAnsiTheme="majorHAnsi" w:cstheme="majorHAnsi"/>
          <w:sz w:val="22"/>
          <w:szCs w:val="22"/>
        </w:rPr>
      </w:pPr>
    </w:p>
    <w:p w:rsidR="00001465" w:rsidRDefault="00785924" w:rsidP="00001465">
      <w:pPr>
        <w:pStyle w:val="Lijstalinea"/>
        <w:numPr>
          <w:ilvl w:val="0"/>
          <w:numId w:val="31"/>
        </w:numPr>
        <w:spacing w:line="276" w:lineRule="auto"/>
        <w:rPr>
          <w:rFonts w:asciiTheme="majorHAnsi" w:hAnsiTheme="majorHAnsi" w:cstheme="majorHAnsi"/>
          <w:sz w:val="22"/>
          <w:szCs w:val="22"/>
        </w:rPr>
      </w:pPr>
      <w:r w:rsidRPr="00001465">
        <w:rPr>
          <w:rFonts w:asciiTheme="majorHAnsi" w:hAnsiTheme="majorHAnsi" w:cstheme="majorHAnsi"/>
          <w:b/>
          <w:sz w:val="22"/>
          <w:szCs w:val="22"/>
        </w:rPr>
        <w:t>Pesten aanpakken</w:t>
      </w:r>
    </w:p>
    <w:p w:rsidR="00785924" w:rsidRPr="00001465" w:rsidRDefault="00785924"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Alle inspanningen ten spijt k</w:t>
      </w:r>
      <w:r w:rsidR="000D61F0" w:rsidRPr="00001465">
        <w:rPr>
          <w:rFonts w:asciiTheme="majorHAnsi" w:hAnsiTheme="majorHAnsi" w:cstheme="majorHAnsi"/>
          <w:sz w:val="22"/>
          <w:szCs w:val="22"/>
        </w:rPr>
        <w:t xml:space="preserve">an er ook op </w:t>
      </w:r>
      <w:r w:rsidR="000065BB">
        <w:rPr>
          <w:rFonts w:asciiTheme="majorHAnsi" w:hAnsiTheme="majorHAnsi" w:cstheme="majorHAnsi"/>
          <w:sz w:val="22"/>
          <w:szCs w:val="22"/>
        </w:rPr>
        <w:t>‘t Tuselant</w:t>
      </w:r>
      <w:r w:rsidRPr="00001465">
        <w:rPr>
          <w:rFonts w:asciiTheme="majorHAnsi" w:hAnsiTheme="majorHAnsi" w:cstheme="majorHAnsi"/>
          <w:sz w:val="22"/>
          <w:szCs w:val="22"/>
        </w:rPr>
        <w:t xml:space="preserve"> sprake zijn van een pestsituatie of buitensluiten. In dat geval is het uiteraard zaak om eerst na te gaan of aan de preventieve kant nog wel voldoende kwalitatief wordt uitgevoerd. Met de groep wordt besproken hoe leerlingen elkaar kunnen helpen, waarbij met name de populaire leerlingen belangrijk kunnen zijn als ‘verdedigers’.</w:t>
      </w:r>
    </w:p>
    <w:p w:rsidR="00785924" w:rsidRPr="00001465" w:rsidRDefault="00785924" w:rsidP="00001465">
      <w:pPr>
        <w:spacing w:line="276" w:lineRule="auto"/>
        <w:rPr>
          <w:rFonts w:asciiTheme="majorHAnsi" w:hAnsiTheme="majorHAnsi" w:cstheme="majorHAnsi"/>
          <w:sz w:val="22"/>
          <w:szCs w:val="22"/>
        </w:rPr>
      </w:pPr>
    </w:p>
    <w:p w:rsidR="00001465" w:rsidRPr="00001465" w:rsidRDefault="00001465" w:rsidP="00001465">
      <w:pPr>
        <w:pStyle w:val="Lijstalinea"/>
        <w:numPr>
          <w:ilvl w:val="0"/>
          <w:numId w:val="31"/>
        </w:numPr>
        <w:spacing w:line="276" w:lineRule="auto"/>
        <w:rPr>
          <w:rFonts w:asciiTheme="majorHAnsi" w:hAnsiTheme="majorHAnsi" w:cstheme="majorHAnsi"/>
          <w:sz w:val="22"/>
          <w:szCs w:val="22"/>
        </w:rPr>
      </w:pPr>
      <w:r>
        <w:rPr>
          <w:rFonts w:asciiTheme="majorHAnsi" w:hAnsiTheme="majorHAnsi" w:cstheme="majorHAnsi"/>
          <w:b/>
          <w:sz w:val="22"/>
          <w:szCs w:val="22"/>
        </w:rPr>
        <w:t>Als er meer nodig is</w:t>
      </w:r>
    </w:p>
    <w:p w:rsidR="00785924" w:rsidRPr="00001465" w:rsidRDefault="00785924"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Als er meer nodig is, </w:t>
      </w:r>
      <w:r w:rsidR="000D61F0" w:rsidRPr="00001465">
        <w:rPr>
          <w:rFonts w:asciiTheme="majorHAnsi" w:hAnsiTheme="majorHAnsi" w:cstheme="majorHAnsi"/>
          <w:sz w:val="22"/>
          <w:szCs w:val="22"/>
        </w:rPr>
        <w:t xml:space="preserve">is het mogelijk </w:t>
      </w:r>
      <w:r w:rsidRPr="00001465">
        <w:rPr>
          <w:rFonts w:asciiTheme="majorHAnsi" w:hAnsiTheme="majorHAnsi" w:cstheme="majorHAnsi"/>
          <w:sz w:val="22"/>
          <w:szCs w:val="22"/>
        </w:rPr>
        <w:t>de Oplossingsgerichte Pestaanpak (OPA)</w:t>
      </w:r>
      <w:r w:rsidR="000D61F0" w:rsidRPr="00001465">
        <w:rPr>
          <w:rFonts w:asciiTheme="majorHAnsi" w:hAnsiTheme="majorHAnsi" w:cstheme="majorHAnsi"/>
          <w:sz w:val="22"/>
          <w:szCs w:val="22"/>
        </w:rPr>
        <w:t xml:space="preserve"> in te zetten</w:t>
      </w:r>
      <w:r w:rsidRPr="00001465">
        <w:rPr>
          <w:rFonts w:asciiTheme="majorHAnsi" w:hAnsiTheme="majorHAnsi" w:cstheme="majorHAnsi"/>
          <w:sz w:val="22"/>
          <w:szCs w:val="22"/>
        </w:rPr>
        <w:t xml:space="preserve">. Deze </w:t>
      </w:r>
      <w:r w:rsidR="000065BB" w:rsidRPr="00001465">
        <w:rPr>
          <w:rFonts w:asciiTheme="majorHAnsi" w:hAnsiTheme="majorHAnsi" w:cstheme="majorHAnsi"/>
          <w:sz w:val="22"/>
          <w:szCs w:val="22"/>
        </w:rPr>
        <w:t>steungroep aanpak</w:t>
      </w:r>
      <w:r w:rsidRPr="00001465">
        <w:rPr>
          <w:rFonts w:asciiTheme="majorHAnsi" w:hAnsiTheme="majorHAnsi" w:cstheme="majorHAnsi"/>
          <w:sz w:val="22"/>
          <w:szCs w:val="22"/>
        </w:rPr>
        <w:t xml:space="preserve"> van pesten is ontleend van de No Blame-methode en wordt bij de meeste anti-pest programma’s ingezet. De methode past goed bij de uitgangspunten van De Vreedzame School. De No Blame-methode wordt met succes en op steeds grotere schaal toegepast in Engeland, Zwitserland, Nieuw Zeeland en verschillende Zuid-Amerikaanse landen. De aanpak is proefondervindelijk zeer effectief gebleken. Sommige onderzoeken in Engeland noemen succespercentages van 90 procent (Smith, e.a. 2003).</w:t>
      </w:r>
    </w:p>
    <w:p w:rsidR="00785924" w:rsidRPr="00001465" w:rsidRDefault="00785924" w:rsidP="00001465">
      <w:pPr>
        <w:spacing w:line="276" w:lineRule="auto"/>
        <w:rPr>
          <w:rFonts w:asciiTheme="majorHAnsi" w:hAnsiTheme="majorHAnsi" w:cstheme="majorHAnsi"/>
          <w:sz w:val="22"/>
          <w:szCs w:val="22"/>
        </w:rPr>
      </w:pPr>
    </w:p>
    <w:p w:rsidR="00001465" w:rsidRDefault="00785924" w:rsidP="00001465">
      <w:pPr>
        <w:pStyle w:val="Lijstalinea"/>
        <w:numPr>
          <w:ilvl w:val="0"/>
          <w:numId w:val="31"/>
        </w:numPr>
        <w:spacing w:line="276" w:lineRule="auto"/>
        <w:rPr>
          <w:rFonts w:asciiTheme="majorHAnsi" w:hAnsiTheme="majorHAnsi" w:cstheme="majorHAnsi"/>
          <w:sz w:val="22"/>
          <w:szCs w:val="22"/>
        </w:rPr>
      </w:pPr>
      <w:r w:rsidRPr="00001465">
        <w:rPr>
          <w:rFonts w:asciiTheme="majorHAnsi" w:hAnsiTheme="majorHAnsi" w:cstheme="majorHAnsi"/>
          <w:b/>
          <w:sz w:val="22"/>
          <w:szCs w:val="22"/>
        </w:rPr>
        <w:t>Oplossingsgerichte Pestaanpak (OPA)</w:t>
      </w:r>
    </w:p>
    <w:p w:rsidR="00785924" w:rsidRPr="00001465" w:rsidRDefault="00785924"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Deze aanpak bestaat uit een aantal achtereenvolgende gesprekken tussen een leerkracht (of </w:t>
      </w:r>
      <w:proofErr w:type="spellStart"/>
      <w:r w:rsidRPr="00001465">
        <w:rPr>
          <w:rFonts w:asciiTheme="majorHAnsi" w:hAnsiTheme="majorHAnsi" w:cstheme="majorHAnsi"/>
          <w:sz w:val="22"/>
          <w:szCs w:val="22"/>
        </w:rPr>
        <w:t>ib’er</w:t>
      </w:r>
      <w:proofErr w:type="spellEnd"/>
      <w:r w:rsidRPr="00001465">
        <w:rPr>
          <w:rFonts w:asciiTheme="majorHAnsi" w:hAnsiTheme="majorHAnsi" w:cstheme="majorHAnsi"/>
          <w:sz w:val="22"/>
          <w:szCs w:val="22"/>
        </w:rPr>
        <w:t xml:space="preserve">) en leerlingen. Eerst met alléén de gepeste leerling, vervolgens met een groep leerlingen, die zorgvuldig is samengesteld samen met de gepeste leerling. Deze groep, met daarin ook de pester(s), gaat voor verandering en steun zorgen. </w:t>
      </w:r>
      <w:r w:rsidRPr="00001465">
        <w:rPr>
          <w:rFonts w:asciiTheme="majorHAnsi" w:hAnsiTheme="majorHAnsi" w:cstheme="majorHAnsi"/>
          <w:sz w:val="22"/>
          <w:szCs w:val="22"/>
        </w:rPr>
        <w:br/>
        <w:t>Belangrijke elementen van de aanpak: geen schuld, verwijten of straf , we moedigen empathie aan, we maken iedereen verantwoordelijk, het is positief en oplossingsgericht en de pester krijgt de kans zi</w:t>
      </w:r>
      <w:r w:rsidR="00001465">
        <w:rPr>
          <w:rFonts w:asciiTheme="majorHAnsi" w:hAnsiTheme="majorHAnsi" w:cstheme="majorHAnsi"/>
          <w:sz w:val="22"/>
          <w:szCs w:val="22"/>
        </w:rPr>
        <w:t>jn of haar gedrag te veranderen:</w:t>
      </w:r>
    </w:p>
    <w:p w:rsidR="00001465" w:rsidRPr="00001465" w:rsidRDefault="00001465" w:rsidP="00001465">
      <w:pPr>
        <w:spacing w:line="276" w:lineRule="auto"/>
        <w:rPr>
          <w:rFonts w:asciiTheme="majorHAnsi" w:hAnsiTheme="majorHAnsi" w:cstheme="majorHAnsi"/>
          <w:sz w:val="22"/>
          <w:szCs w:val="22"/>
        </w:rPr>
      </w:pPr>
    </w:p>
    <w:p w:rsidR="00001465" w:rsidRPr="00001465" w:rsidRDefault="00001465"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lastRenderedPageBreak/>
        <w:t xml:space="preserve">In deze aanpak worden meestal de volgende stappen onderscheiden: </w:t>
      </w:r>
    </w:p>
    <w:p w:rsidR="00001465" w:rsidRPr="00001465" w:rsidRDefault="00001465"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1. Gesprek met het gepeste kind.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pester en meelopers of buitenstaanders; liefst ook een verdeling van jongens en meisjes. We vragen in dit gesprek aan de leerling of hij of zij wil dat de ouders op de hoogte zijn van de gesprekken. Als een externe of een andere volwassene (niet de eigen groepsleerkracht) binnen de school deze gesprekken gaat voeren, lichten we de ouders altijd in.  </w:t>
      </w:r>
    </w:p>
    <w:p w:rsidR="00001465" w:rsidRPr="00001465" w:rsidRDefault="00001465"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2. Gesprek met de steungroep. Hierbij is het gepeste kind niet aanwezig. In dit gesprek wordt de steungroep uitgenodigd om de gepeste medeleerling te gaan helpen. Ze worden uitgenodigd om met ideeën en voorstellen te komen. Dit alles met als doel dat het pesten moet stoppen.  </w:t>
      </w:r>
    </w:p>
    <w:p w:rsidR="00001465" w:rsidRPr="00001465" w:rsidRDefault="00001465"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3. Tweede gesprek met de gepeste. Na ongeveer een week bespreekt de leerkracht hoe het nu gaat met de gepeste.  </w:t>
      </w:r>
    </w:p>
    <w:p w:rsidR="00001465" w:rsidRPr="00001465" w:rsidRDefault="00001465"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 xml:space="preserve">4. Tweede gesprek met de steungroep. Na ongeveer een week is er ook een gesprek met de steungroep, waarin ieder lid de gelegenheid krijgt om te praten over wat hij of zij heeft gedaan.  </w:t>
      </w:r>
    </w:p>
    <w:p w:rsidR="00001465" w:rsidRPr="00785924" w:rsidRDefault="00001465" w:rsidP="00001465">
      <w:pPr>
        <w:spacing w:line="276" w:lineRule="auto"/>
        <w:rPr>
          <w:rFonts w:asciiTheme="majorHAnsi" w:hAnsiTheme="majorHAnsi" w:cstheme="majorHAnsi"/>
          <w:sz w:val="22"/>
          <w:szCs w:val="22"/>
        </w:rPr>
      </w:pPr>
      <w:r w:rsidRPr="00001465">
        <w:rPr>
          <w:rFonts w:asciiTheme="majorHAnsi" w:hAnsiTheme="majorHAnsi" w:cstheme="majorHAnsi"/>
          <w:sz w:val="22"/>
          <w:szCs w:val="22"/>
        </w:rPr>
        <w:t>Soms moet deze cyclus nog een of meerdere keren herhaald worden om er voor te zorgen dat het interactiepatroon blijvend verandert.</w:t>
      </w:r>
    </w:p>
    <w:p w:rsidR="00001465" w:rsidRDefault="00001465" w:rsidP="00001465">
      <w:pPr>
        <w:spacing w:after="300" w:line="276" w:lineRule="auto"/>
        <w:rPr>
          <w:rFonts w:asciiTheme="majorHAnsi" w:hAnsiTheme="majorHAnsi" w:cstheme="majorHAnsi"/>
          <w:b/>
          <w:sz w:val="22"/>
          <w:szCs w:val="22"/>
        </w:rPr>
      </w:pPr>
    </w:p>
    <w:p w:rsidR="00001465" w:rsidRPr="00001465" w:rsidRDefault="00785924" w:rsidP="005D3E2A">
      <w:pPr>
        <w:pStyle w:val="Lijstalinea"/>
        <w:numPr>
          <w:ilvl w:val="0"/>
          <w:numId w:val="31"/>
        </w:numPr>
        <w:spacing w:after="300" w:line="276" w:lineRule="auto"/>
        <w:rPr>
          <w:rFonts w:asciiTheme="majorHAnsi" w:hAnsiTheme="majorHAnsi" w:cstheme="majorHAnsi"/>
          <w:sz w:val="22"/>
          <w:szCs w:val="22"/>
        </w:rPr>
      </w:pPr>
      <w:r w:rsidRPr="00001465">
        <w:rPr>
          <w:rFonts w:asciiTheme="majorHAnsi" w:hAnsiTheme="majorHAnsi" w:cstheme="majorHAnsi"/>
          <w:b/>
          <w:sz w:val="22"/>
          <w:szCs w:val="22"/>
        </w:rPr>
        <w:t>Katern Werken aan sociale veiligheid</w:t>
      </w:r>
    </w:p>
    <w:p w:rsidR="00785924" w:rsidRDefault="00785924" w:rsidP="00001465">
      <w:pPr>
        <w:spacing w:after="300" w:line="276" w:lineRule="auto"/>
        <w:rPr>
          <w:rFonts w:asciiTheme="majorHAnsi" w:hAnsiTheme="majorHAnsi" w:cstheme="majorHAnsi"/>
          <w:sz w:val="22"/>
          <w:szCs w:val="22"/>
        </w:rPr>
      </w:pPr>
      <w:r w:rsidRPr="00001465">
        <w:rPr>
          <w:rFonts w:asciiTheme="majorHAnsi" w:hAnsiTheme="majorHAnsi" w:cstheme="majorHAnsi"/>
          <w:sz w:val="22"/>
          <w:szCs w:val="22"/>
        </w:rPr>
        <w:t xml:space="preserve">De extra activiteiten die ingezet kunnen worden als tegenwicht voor negatief en ongewenst gedrag zijn gebundeld in het katern Werken aan sociale veiligheid. De activiteiten vormen een aanvulling op het lesprogramma. </w:t>
      </w:r>
      <w:r w:rsidRPr="00001465">
        <w:rPr>
          <w:rFonts w:asciiTheme="majorHAnsi" w:hAnsiTheme="majorHAnsi" w:cstheme="majorHAnsi"/>
          <w:sz w:val="22"/>
          <w:szCs w:val="22"/>
        </w:rPr>
        <w:br/>
        <w:t xml:space="preserve">Er is ook een aparte publicatie over de manier waarop de programmamakers van de Vreedzame School naar gedragsregulering kijken: </w:t>
      </w:r>
      <w:hyperlink r:id="rId10" w:tgtFrame="_blank" w:history="1">
        <w:r w:rsidRPr="00001465">
          <w:rPr>
            <w:rFonts w:asciiTheme="majorHAnsi" w:hAnsiTheme="majorHAnsi" w:cstheme="majorHAnsi"/>
            <w:sz w:val="22"/>
            <w:szCs w:val="22"/>
            <w:u w:val="single"/>
          </w:rPr>
          <w:t>Van gedragsregulering naar opvoeding (Pauw, 2014)</w:t>
        </w:r>
      </w:hyperlink>
      <w:r w:rsidRPr="00001465">
        <w:rPr>
          <w:rFonts w:asciiTheme="majorHAnsi" w:hAnsiTheme="majorHAnsi" w:cstheme="majorHAnsi"/>
          <w:sz w:val="22"/>
          <w:szCs w:val="22"/>
        </w:rPr>
        <w:t>.</w:t>
      </w:r>
    </w:p>
    <w:p w:rsidR="00001465" w:rsidRPr="00001465" w:rsidRDefault="00001465" w:rsidP="00001465">
      <w:pPr>
        <w:spacing w:after="300" w:line="276" w:lineRule="auto"/>
        <w:rPr>
          <w:rFonts w:asciiTheme="majorHAnsi" w:hAnsiTheme="majorHAnsi" w:cstheme="majorHAnsi"/>
          <w:i/>
          <w:sz w:val="22"/>
          <w:szCs w:val="22"/>
        </w:rPr>
      </w:pPr>
      <w:r>
        <w:rPr>
          <w:rFonts w:asciiTheme="majorHAnsi" w:hAnsiTheme="majorHAnsi" w:cstheme="majorHAnsi"/>
          <w:i/>
          <w:sz w:val="22"/>
          <w:szCs w:val="22"/>
        </w:rPr>
        <w:t xml:space="preserve">*De OPA en het katern ‘Werken aan sociale veiligheid’ is op </w:t>
      </w:r>
      <w:r w:rsidR="000065BB">
        <w:rPr>
          <w:rFonts w:asciiTheme="majorHAnsi" w:hAnsiTheme="majorHAnsi" w:cstheme="majorHAnsi"/>
          <w:i/>
          <w:sz w:val="22"/>
          <w:szCs w:val="22"/>
        </w:rPr>
        <w:t>‘t Tuselant</w:t>
      </w:r>
      <w:r>
        <w:rPr>
          <w:rFonts w:asciiTheme="majorHAnsi" w:hAnsiTheme="majorHAnsi" w:cstheme="majorHAnsi"/>
          <w:i/>
          <w:sz w:val="22"/>
          <w:szCs w:val="22"/>
        </w:rPr>
        <w:t xml:space="preserve"> sinds de invoering van De Vreedzame School nog nooit ingezet, omdat pesten nooit eerder in een dergelijke mate voor is gekomen. </w:t>
      </w:r>
    </w:p>
    <w:p w:rsidR="00785924" w:rsidRPr="00001465" w:rsidRDefault="00785924" w:rsidP="00001465">
      <w:pPr>
        <w:spacing w:line="276" w:lineRule="auto"/>
        <w:rPr>
          <w:rFonts w:asciiTheme="majorHAnsi" w:hAnsiTheme="majorHAnsi" w:cstheme="majorHAnsi"/>
          <w:sz w:val="22"/>
          <w:szCs w:val="22"/>
        </w:rPr>
      </w:pPr>
    </w:p>
    <w:sectPr w:rsidR="00785924" w:rsidRPr="0000146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5D" w:rsidRDefault="00B31B5D" w:rsidP="00531DD6">
      <w:r>
        <w:separator/>
      </w:r>
    </w:p>
  </w:endnote>
  <w:endnote w:type="continuationSeparator" w:id="0">
    <w:p w:rsidR="00B31B5D" w:rsidRDefault="00B31B5D" w:rsidP="0053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christma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1"/>
      </w:rPr>
      <w:id w:val="-407459342"/>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531DD6" w:rsidRDefault="00531DD6">
        <w:pPr>
          <w:pStyle w:val="Voettekst"/>
          <w:jc w:val="center"/>
          <w:rPr>
            <w:rFonts w:asciiTheme="majorHAnsi" w:eastAsiaTheme="majorEastAsia" w:hAnsiTheme="majorHAnsi" w:cstheme="majorBidi"/>
            <w:color w:val="4F81BD" w:themeColor="accent1"/>
            <w:sz w:val="40"/>
            <w:szCs w:val="40"/>
          </w:rPr>
        </w:pP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065BB" w:rsidRPr="000065BB">
          <w:rPr>
            <w:rFonts w:asciiTheme="majorHAnsi" w:eastAsiaTheme="majorEastAsia" w:hAnsiTheme="majorHAnsi" w:cstheme="majorBidi"/>
            <w:noProof/>
            <w:color w:val="4F81BD" w:themeColor="accent1"/>
            <w:sz w:val="40"/>
            <w:szCs w:val="40"/>
          </w:rPr>
          <w:t>4</w:t>
        </w:r>
        <w:r>
          <w:rPr>
            <w:rFonts w:asciiTheme="majorHAnsi" w:eastAsiaTheme="majorEastAsia" w:hAnsiTheme="majorHAnsi" w:cstheme="majorBidi"/>
            <w:color w:val="4F81BD" w:themeColor="accent1"/>
            <w:sz w:val="40"/>
            <w:szCs w:val="40"/>
          </w:rPr>
          <w:fldChar w:fldCharType="end"/>
        </w:r>
      </w:p>
    </w:sdtContent>
  </w:sdt>
  <w:p w:rsidR="00531DD6" w:rsidRDefault="00531DD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5D" w:rsidRDefault="00B31B5D" w:rsidP="00531DD6">
      <w:r>
        <w:separator/>
      </w:r>
    </w:p>
  </w:footnote>
  <w:footnote w:type="continuationSeparator" w:id="0">
    <w:p w:rsidR="00B31B5D" w:rsidRDefault="00B31B5D" w:rsidP="00531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E4B"/>
    <w:multiLevelType w:val="hybridMultilevel"/>
    <w:tmpl w:val="0CA22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02056"/>
    <w:multiLevelType w:val="hybridMultilevel"/>
    <w:tmpl w:val="4C12A97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F64C82"/>
    <w:multiLevelType w:val="hybridMultilevel"/>
    <w:tmpl w:val="C8D65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0D2DCA"/>
    <w:multiLevelType w:val="hybridMultilevel"/>
    <w:tmpl w:val="C444F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21391B"/>
    <w:multiLevelType w:val="hybridMultilevel"/>
    <w:tmpl w:val="0EDED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465876"/>
    <w:multiLevelType w:val="hybridMultilevel"/>
    <w:tmpl w:val="5D4476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7B00E4"/>
    <w:multiLevelType w:val="hybridMultilevel"/>
    <w:tmpl w:val="4924419A"/>
    <w:lvl w:ilvl="0" w:tplc="60089E1E">
      <w:start w:val="1"/>
      <w:numFmt w:val="bullet"/>
      <w:lvlText w:val=""/>
      <w:lvlJc w:val="left"/>
      <w:pPr>
        <w:tabs>
          <w:tab w:val="num" w:pos="360"/>
        </w:tabs>
        <w:ind w:left="360" w:hanging="360"/>
      </w:pPr>
      <w:rPr>
        <w:rFonts w:ascii="Wingdings" w:hAnsi="Wingdings" w:hint="default"/>
      </w:rPr>
    </w:lvl>
    <w:lvl w:ilvl="1" w:tplc="C310B9AA">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783F06"/>
    <w:multiLevelType w:val="hybridMultilevel"/>
    <w:tmpl w:val="88C6B064"/>
    <w:lvl w:ilvl="0" w:tplc="60089E1E">
      <w:start w:val="1"/>
      <w:numFmt w:val="bullet"/>
      <w:lvlText w:val=""/>
      <w:lvlJc w:val="left"/>
      <w:pPr>
        <w:tabs>
          <w:tab w:val="num" w:pos="360"/>
        </w:tabs>
        <w:ind w:left="360" w:hanging="360"/>
      </w:pPr>
      <w:rPr>
        <w:rFonts w:ascii="Wingdings" w:hAnsi="Wingdings" w:hint="default"/>
      </w:rPr>
    </w:lvl>
    <w:lvl w:ilvl="1" w:tplc="7FCC4C86">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260CFE"/>
    <w:multiLevelType w:val="hybridMultilevel"/>
    <w:tmpl w:val="52D4DE7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C1156E"/>
    <w:multiLevelType w:val="hybridMultilevel"/>
    <w:tmpl w:val="B888E6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F036210"/>
    <w:multiLevelType w:val="hybridMultilevel"/>
    <w:tmpl w:val="A1BC394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F7037C7"/>
    <w:multiLevelType w:val="hybridMultilevel"/>
    <w:tmpl w:val="D1B492F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46474A"/>
    <w:multiLevelType w:val="hybridMultilevel"/>
    <w:tmpl w:val="B0DC698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40F006F"/>
    <w:multiLevelType w:val="hybridMultilevel"/>
    <w:tmpl w:val="83EA3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FB72BE"/>
    <w:multiLevelType w:val="hybridMultilevel"/>
    <w:tmpl w:val="764EE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637D9F"/>
    <w:multiLevelType w:val="hybridMultilevel"/>
    <w:tmpl w:val="3D488646"/>
    <w:lvl w:ilvl="0" w:tplc="60089E1E">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71F6B"/>
    <w:multiLevelType w:val="hybridMultilevel"/>
    <w:tmpl w:val="04E07E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67126F9"/>
    <w:multiLevelType w:val="hybridMultilevel"/>
    <w:tmpl w:val="98661B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9A2055A"/>
    <w:multiLevelType w:val="hybridMultilevel"/>
    <w:tmpl w:val="DF6EFB50"/>
    <w:lvl w:ilvl="0" w:tplc="60089E1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05008"/>
    <w:multiLevelType w:val="hybridMultilevel"/>
    <w:tmpl w:val="14D807D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B717E5C"/>
    <w:multiLevelType w:val="hybridMultilevel"/>
    <w:tmpl w:val="53A66C9C"/>
    <w:lvl w:ilvl="0" w:tplc="60089E1E">
      <w:start w:val="1"/>
      <w:numFmt w:val="bullet"/>
      <w:lvlText w:val=""/>
      <w:lvlJc w:val="left"/>
      <w:pPr>
        <w:tabs>
          <w:tab w:val="num" w:pos="720"/>
        </w:tabs>
        <w:ind w:left="720" w:hanging="360"/>
      </w:pPr>
      <w:rPr>
        <w:rFonts w:ascii="Wingdings" w:hAnsi="Wingdings" w:hint="default"/>
      </w:rPr>
    </w:lvl>
    <w:lvl w:ilvl="1" w:tplc="96744EF6">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72A8E"/>
    <w:multiLevelType w:val="hybridMultilevel"/>
    <w:tmpl w:val="6AB62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C05E49"/>
    <w:multiLevelType w:val="hybridMultilevel"/>
    <w:tmpl w:val="9338706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E924875"/>
    <w:multiLevelType w:val="hybridMultilevel"/>
    <w:tmpl w:val="E6701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9A1ABF"/>
    <w:multiLevelType w:val="hybridMultilevel"/>
    <w:tmpl w:val="BB4251C0"/>
    <w:lvl w:ilvl="0" w:tplc="4AD675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7E5E75"/>
    <w:multiLevelType w:val="hybridMultilevel"/>
    <w:tmpl w:val="DE28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9F6265"/>
    <w:multiLevelType w:val="hybridMultilevel"/>
    <w:tmpl w:val="187EE75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9E6FF9"/>
    <w:multiLevelType w:val="hybridMultilevel"/>
    <w:tmpl w:val="0BFAD9A8"/>
    <w:lvl w:ilvl="0" w:tplc="60089E1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7448C"/>
    <w:multiLevelType w:val="hybridMultilevel"/>
    <w:tmpl w:val="CE44AF96"/>
    <w:lvl w:ilvl="0" w:tplc="60089E1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26E99"/>
    <w:multiLevelType w:val="hybridMultilevel"/>
    <w:tmpl w:val="7592FC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E3347C6"/>
    <w:multiLevelType w:val="hybridMultilevel"/>
    <w:tmpl w:val="0820EC80"/>
    <w:lvl w:ilvl="0" w:tplc="60089E1E">
      <w:start w:val="1"/>
      <w:numFmt w:val="bullet"/>
      <w:lvlText w:val=""/>
      <w:lvlJc w:val="left"/>
      <w:pPr>
        <w:tabs>
          <w:tab w:val="num" w:pos="360"/>
        </w:tabs>
        <w:ind w:left="360" w:hanging="360"/>
      </w:pPr>
      <w:rPr>
        <w:rFonts w:ascii="Wingdings" w:hAnsi="Wingdings" w:hint="default"/>
      </w:rPr>
    </w:lvl>
    <w:lvl w:ilvl="1" w:tplc="7FCC4C86">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8"/>
  </w:num>
  <w:num w:numId="3">
    <w:abstractNumId w:val="16"/>
  </w:num>
  <w:num w:numId="4">
    <w:abstractNumId w:val="17"/>
  </w:num>
  <w:num w:numId="5">
    <w:abstractNumId w:val="6"/>
  </w:num>
  <w:num w:numId="6">
    <w:abstractNumId w:val="7"/>
  </w:num>
  <w:num w:numId="7">
    <w:abstractNumId w:val="30"/>
  </w:num>
  <w:num w:numId="8">
    <w:abstractNumId w:val="11"/>
  </w:num>
  <w:num w:numId="9">
    <w:abstractNumId w:val="20"/>
  </w:num>
  <w:num w:numId="10">
    <w:abstractNumId w:val="27"/>
  </w:num>
  <w:num w:numId="11">
    <w:abstractNumId w:val="28"/>
  </w:num>
  <w:num w:numId="12">
    <w:abstractNumId w:val="22"/>
  </w:num>
  <w:num w:numId="13">
    <w:abstractNumId w:val="12"/>
  </w:num>
  <w:num w:numId="14">
    <w:abstractNumId w:val="1"/>
  </w:num>
  <w:num w:numId="15">
    <w:abstractNumId w:val="5"/>
  </w:num>
  <w:num w:numId="16">
    <w:abstractNumId w:val="10"/>
  </w:num>
  <w:num w:numId="17">
    <w:abstractNumId w:val="14"/>
  </w:num>
  <w:num w:numId="18">
    <w:abstractNumId w:val="19"/>
  </w:num>
  <w:num w:numId="19">
    <w:abstractNumId w:val="8"/>
  </w:num>
  <w:num w:numId="20">
    <w:abstractNumId w:val="26"/>
  </w:num>
  <w:num w:numId="21">
    <w:abstractNumId w:val="2"/>
  </w:num>
  <w:num w:numId="22">
    <w:abstractNumId w:val="13"/>
  </w:num>
  <w:num w:numId="23">
    <w:abstractNumId w:val="0"/>
  </w:num>
  <w:num w:numId="24">
    <w:abstractNumId w:val="23"/>
  </w:num>
  <w:num w:numId="25">
    <w:abstractNumId w:val="4"/>
  </w:num>
  <w:num w:numId="26">
    <w:abstractNumId w:val="25"/>
  </w:num>
  <w:num w:numId="27">
    <w:abstractNumId w:val="21"/>
  </w:num>
  <w:num w:numId="28">
    <w:abstractNumId w:val="3"/>
  </w:num>
  <w:num w:numId="29">
    <w:abstractNumId w:val="29"/>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83"/>
    <w:rsid w:val="00001465"/>
    <w:rsid w:val="000065BB"/>
    <w:rsid w:val="000928A9"/>
    <w:rsid w:val="000D61F0"/>
    <w:rsid w:val="001A29EC"/>
    <w:rsid w:val="0021168D"/>
    <w:rsid w:val="00291800"/>
    <w:rsid w:val="002D069C"/>
    <w:rsid w:val="0041242E"/>
    <w:rsid w:val="004F3097"/>
    <w:rsid w:val="00531DD6"/>
    <w:rsid w:val="00723D9E"/>
    <w:rsid w:val="00785924"/>
    <w:rsid w:val="008208CB"/>
    <w:rsid w:val="009D4683"/>
    <w:rsid w:val="00A652AC"/>
    <w:rsid w:val="00B31B5D"/>
    <w:rsid w:val="00BD4023"/>
    <w:rsid w:val="00BF1969"/>
    <w:rsid w:val="00D551B5"/>
    <w:rsid w:val="00E56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39F3"/>
  <w15:docId w15:val="{1B8DB804-5A55-4BB9-8DF8-A2CFC366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4683"/>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9D4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D4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9D4683"/>
    <w:pPr>
      <w:jc w:val="center"/>
    </w:pPr>
    <w:rPr>
      <w:rFonts w:ascii="Oldchristmas" w:hAnsi="Oldchristmas"/>
      <w:sz w:val="144"/>
    </w:rPr>
  </w:style>
  <w:style w:type="character" w:customStyle="1" w:styleId="TitelChar">
    <w:name w:val="Titel Char"/>
    <w:basedOn w:val="Standaardalinea-lettertype"/>
    <w:link w:val="Titel"/>
    <w:rsid w:val="009D4683"/>
    <w:rPr>
      <w:rFonts w:ascii="Oldchristmas" w:eastAsia="Times New Roman" w:hAnsi="Oldchristmas" w:cs="Times New Roman"/>
      <w:sz w:val="144"/>
      <w:szCs w:val="20"/>
      <w:lang w:eastAsia="nl-NL"/>
    </w:rPr>
  </w:style>
  <w:style w:type="character" w:styleId="Hyperlink">
    <w:name w:val="Hyperlink"/>
    <w:uiPriority w:val="99"/>
    <w:rsid w:val="009D4683"/>
    <w:rPr>
      <w:color w:val="0000FF"/>
      <w:u w:val="single"/>
    </w:rPr>
  </w:style>
  <w:style w:type="paragraph" w:styleId="Ballontekst">
    <w:name w:val="Balloon Text"/>
    <w:basedOn w:val="Standaard"/>
    <w:link w:val="BallontekstChar"/>
    <w:uiPriority w:val="99"/>
    <w:semiHidden/>
    <w:unhideWhenUsed/>
    <w:rsid w:val="009D4683"/>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683"/>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9D4683"/>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9D4683"/>
    <w:rPr>
      <w:rFonts w:asciiTheme="majorHAnsi" w:eastAsiaTheme="majorEastAsia" w:hAnsiTheme="majorHAnsi" w:cstheme="majorBidi"/>
      <w:b/>
      <w:bCs/>
      <w:color w:val="4F81BD" w:themeColor="accent1"/>
      <w:sz w:val="26"/>
      <w:szCs w:val="26"/>
      <w:lang w:eastAsia="nl-NL"/>
    </w:rPr>
  </w:style>
  <w:style w:type="paragraph" w:styleId="Kopvaninhoudsopgave">
    <w:name w:val="TOC Heading"/>
    <w:basedOn w:val="Kop1"/>
    <w:next w:val="Standaard"/>
    <w:uiPriority w:val="39"/>
    <w:unhideWhenUsed/>
    <w:qFormat/>
    <w:rsid w:val="009D4683"/>
    <w:pPr>
      <w:spacing w:line="276" w:lineRule="auto"/>
      <w:outlineLvl w:val="9"/>
    </w:pPr>
  </w:style>
  <w:style w:type="paragraph" w:styleId="Inhopg1">
    <w:name w:val="toc 1"/>
    <w:basedOn w:val="Standaard"/>
    <w:next w:val="Standaard"/>
    <w:autoRedefine/>
    <w:uiPriority w:val="39"/>
    <w:unhideWhenUsed/>
    <w:qFormat/>
    <w:rsid w:val="009D4683"/>
    <w:pPr>
      <w:spacing w:after="100"/>
    </w:pPr>
  </w:style>
  <w:style w:type="paragraph" w:styleId="Inhopg2">
    <w:name w:val="toc 2"/>
    <w:basedOn w:val="Standaard"/>
    <w:next w:val="Standaard"/>
    <w:autoRedefine/>
    <w:uiPriority w:val="39"/>
    <w:unhideWhenUsed/>
    <w:qFormat/>
    <w:rsid w:val="009D4683"/>
    <w:pPr>
      <w:spacing w:after="100"/>
      <w:ind w:left="240"/>
    </w:pPr>
  </w:style>
  <w:style w:type="paragraph" w:styleId="Inhopg3">
    <w:name w:val="toc 3"/>
    <w:basedOn w:val="Standaard"/>
    <w:next w:val="Standaard"/>
    <w:autoRedefine/>
    <w:uiPriority w:val="39"/>
    <w:semiHidden/>
    <w:unhideWhenUsed/>
    <w:qFormat/>
    <w:rsid w:val="00531DD6"/>
    <w:pPr>
      <w:spacing w:after="100" w:line="276" w:lineRule="auto"/>
      <w:ind w:left="440"/>
    </w:pPr>
    <w:rPr>
      <w:rFonts w:asciiTheme="minorHAnsi" w:eastAsiaTheme="minorEastAsia" w:hAnsiTheme="minorHAnsi" w:cstheme="minorBidi"/>
      <w:sz w:val="22"/>
      <w:szCs w:val="22"/>
    </w:rPr>
  </w:style>
  <w:style w:type="paragraph" w:styleId="Koptekst">
    <w:name w:val="header"/>
    <w:basedOn w:val="Standaard"/>
    <w:link w:val="KoptekstChar"/>
    <w:uiPriority w:val="99"/>
    <w:unhideWhenUsed/>
    <w:rsid w:val="00531DD6"/>
    <w:pPr>
      <w:tabs>
        <w:tab w:val="center" w:pos="4536"/>
        <w:tab w:val="right" w:pos="9072"/>
      </w:tabs>
    </w:pPr>
  </w:style>
  <w:style w:type="character" w:customStyle="1" w:styleId="KoptekstChar">
    <w:name w:val="Koptekst Char"/>
    <w:basedOn w:val="Standaardalinea-lettertype"/>
    <w:link w:val="Koptekst"/>
    <w:uiPriority w:val="99"/>
    <w:rsid w:val="00531DD6"/>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531DD6"/>
    <w:pPr>
      <w:tabs>
        <w:tab w:val="center" w:pos="4536"/>
        <w:tab w:val="right" w:pos="9072"/>
      </w:tabs>
    </w:pPr>
  </w:style>
  <w:style w:type="character" w:customStyle="1" w:styleId="VoettekstChar">
    <w:name w:val="Voettekst Char"/>
    <w:basedOn w:val="Standaardalinea-lettertype"/>
    <w:link w:val="Voettekst"/>
    <w:uiPriority w:val="99"/>
    <w:rsid w:val="00531DD6"/>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531DD6"/>
    <w:pPr>
      <w:ind w:left="720"/>
      <w:contextualSpacing/>
    </w:pPr>
  </w:style>
  <w:style w:type="paragraph" w:styleId="Normaalweb">
    <w:name w:val="Normal (Web)"/>
    <w:basedOn w:val="Standaard"/>
    <w:uiPriority w:val="99"/>
    <w:semiHidden/>
    <w:unhideWhenUsed/>
    <w:rsid w:val="00785924"/>
    <w:rPr>
      <w:szCs w:val="24"/>
    </w:rPr>
  </w:style>
  <w:style w:type="table" w:styleId="Tabelraster">
    <w:name w:val="Table Grid"/>
    <w:basedOn w:val="Standaardtabel"/>
    <w:uiPriority w:val="39"/>
    <w:rsid w:val="000065BB"/>
    <w:pPr>
      <w:spacing w:after="0" w:line="240" w:lineRule="auto"/>
      <w:ind w:left="39" w:hanging="10"/>
    </w:pPr>
    <w:rPr>
      <w:rFonts w:ascii="Arial" w:eastAsia="Arial" w:hAnsi="Arial" w:cs="Arial"/>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2288">
      <w:bodyDiv w:val="1"/>
      <w:marLeft w:val="0"/>
      <w:marRight w:val="0"/>
      <w:marTop w:val="0"/>
      <w:marBottom w:val="0"/>
      <w:divBdr>
        <w:top w:val="none" w:sz="0" w:space="0" w:color="auto"/>
        <w:left w:val="none" w:sz="0" w:space="0" w:color="auto"/>
        <w:bottom w:val="none" w:sz="0" w:space="0" w:color="auto"/>
        <w:right w:val="none" w:sz="0" w:space="0" w:color="auto"/>
      </w:divBdr>
    </w:div>
    <w:div w:id="1133254969">
      <w:bodyDiv w:val="1"/>
      <w:marLeft w:val="0"/>
      <w:marRight w:val="0"/>
      <w:marTop w:val="0"/>
      <w:marBottom w:val="0"/>
      <w:divBdr>
        <w:top w:val="none" w:sz="0" w:space="0" w:color="auto"/>
        <w:left w:val="none" w:sz="0" w:space="0" w:color="auto"/>
        <w:bottom w:val="none" w:sz="0" w:space="0" w:color="auto"/>
        <w:right w:val="none" w:sz="0" w:space="0" w:color="auto"/>
      </w:divBdr>
      <w:divsChild>
        <w:div w:id="2128547606">
          <w:marLeft w:val="0"/>
          <w:marRight w:val="0"/>
          <w:marTop w:val="300"/>
          <w:marBottom w:val="300"/>
          <w:divBdr>
            <w:top w:val="none" w:sz="0" w:space="0" w:color="auto"/>
            <w:left w:val="none" w:sz="0" w:space="0" w:color="auto"/>
            <w:bottom w:val="none" w:sz="0" w:space="0" w:color="auto"/>
            <w:right w:val="none" w:sz="0" w:space="0" w:color="auto"/>
          </w:divBdr>
        </w:div>
        <w:div w:id="1542979639">
          <w:marLeft w:val="0"/>
          <w:marRight w:val="0"/>
          <w:marTop w:val="300"/>
          <w:marBottom w:val="300"/>
          <w:divBdr>
            <w:top w:val="none" w:sz="0" w:space="0" w:color="auto"/>
            <w:left w:val="none" w:sz="0" w:space="0" w:color="auto"/>
            <w:bottom w:val="none" w:sz="0" w:space="0" w:color="auto"/>
            <w:right w:val="none" w:sz="0" w:space="0" w:color="auto"/>
          </w:divBdr>
        </w:div>
        <w:div w:id="1148982118">
          <w:marLeft w:val="0"/>
          <w:marRight w:val="0"/>
          <w:marTop w:val="300"/>
          <w:marBottom w:val="300"/>
          <w:divBdr>
            <w:top w:val="none" w:sz="0" w:space="0" w:color="auto"/>
            <w:left w:val="none" w:sz="0" w:space="0" w:color="auto"/>
            <w:bottom w:val="none" w:sz="0" w:space="0" w:color="auto"/>
            <w:right w:val="none" w:sz="0" w:space="0" w:color="auto"/>
          </w:divBdr>
        </w:div>
        <w:div w:id="1079910202">
          <w:marLeft w:val="0"/>
          <w:marRight w:val="0"/>
          <w:marTop w:val="300"/>
          <w:marBottom w:val="300"/>
          <w:divBdr>
            <w:top w:val="none" w:sz="0" w:space="0" w:color="auto"/>
            <w:left w:val="none" w:sz="0" w:space="0" w:color="auto"/>
            <w:bottom w:val="none" w:sz="0" w:space="0" w:color="auto"/>
            <w:right w:val="none" w:sz="0" w:space="0" w:color="auto"/>
          </w:divBdr>
        </w:div>
        <w:div w:id="2113552916">
          <w:marLeft w:val="0"/>
          <w:marRight w:val="0"/>
          <w:marTop w:val="300"/>
          <w:marBottom w:val="300"/>
          <w:divBdr>
            <w:top w:val="none" w:sz="0" w:space="0" w:color="auto"/>
            <w:left w:val="none" w:sz="0" w:space="0" w:color="auto"/>
            <w:bottom w:val="none" w:sz="0" w:space="0" w:color="auto"/>
            <w:right w:val="none" w:sz="0" w:space="0" w:color="auto"/>
          </w:divBdr>
        </w:div>
        <w:div w:id="213853743">
          <w:marLeft w:val="0"/>
          <w:marRight w:val="0"/>
          <w:marTop w:val="300"/>
          <w:marBottom w:val="300"/>
          <w:divBdr>
            <w:top w:val="none" w:sz="0" w:space="0" w:color="auto"/>
            <w:left w:val="none" w:sz="0" w:space="0" w:color="auto"/>
            <w:bottom w:val="none" w:sz="0" w:space="0" w:color="auto"/>
            <w:right w:val="none" w:sz="0" w:space="0" w:color="auto"/>
          </w:divBdr>
        </w:div>
        <w:div w:id="1551381782">
          <w:marLeft w:val="0"/>
          <w:marRight w:val="0"/>
          <w:marTop w:val="300"/>
          <w:marBottom w:val="300"/>
          <w:divBdr>
            <w:top w:val="none" w:sz="0" w:space="0" w:color="auto"/>
            <w:left w:val="none" w:sz="0" w:space="0" w:color="auto"/>
            <w:bottom w:val="none" w:sz="0" w:space="0" w:color="auto"/>
            <w:right w:val="none" w:sz="0" w:space="0" w:color="auto"/>
          </w:divBdr>
        </w:div>
        <w:div w:id="814034008">
          <w:marLeft w:val="0"/>
          <w:marRight w:val="0"/>
          <w:marTop w:val="300"/>
          <w:marBottom w:val="0"/>
          <w:divBdr>
            <w:top w:val="none" w:sz="0" w:space="0" w:color="auto"/>
            <w:left w:val="none" w:sz="0" w:space="0" w:color="auto"/>
            <w:bottom w:val="none" w:sz="0" w:space="0" w:color="auto"/>
            <w:right w:val="none" w:sz="0" w:space="0" w:color="auto"/>
          </w:divBdr>
        </w:div>
      </w:divsChild>
    </w:div>
    <w:div w:id="12175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wpbook.com/boeken/114/algemeen/1756/van-gedragsregulering-naar-opvoeding" TargetMode="External"/><Relationship Id="rId4" Type="http://schemas.openxmlformats.org/officeDocument/2006/relationships/settings" Target="settings.xml"/><Relationship Id="rId9" Type="http://schemas.openxmlformats.org/officeDocument/2006/relationships/hyperlink" Target="https://www.swpbook.com/boeken/142/vorming-en-burgerschap/1678/de-vreedzame-scho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060C-7B2C-479E-8D40-5F509469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Educanet</dc:creator>
  <cp:lastModifiedBy>Edith</cp:lastModifiedBy>
  <cp:revision>3</cp:revision>
  <dcterms:created xsi:type="dcterms:W3CDTF">2020-08-19T11:11:00Z</dcterms:created>
  <dcterms:modified xsi:type="dcterms:W3CDTF">2020-08-31T08:16:00Z</dcterms:modified>
</cp:coreProperties>
</file>