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A18BC" w14:textId="77777777" w:rsidR="00000000" w:rsidRDefault="00D7422D">
      <w:pPr>
        <w:spacing w:line="240" w:lineRule="auto"/>
      </w:pPr>
      <w:r>
        <w:rPr>
          <w:rFonts w:ascii="Times New Roman" w:eastAsia="Times New Roman" w:hAnsi="Times New Roman" w:cs="Times New Roman"/>
          <w:noProof/>
          <w:sz w:val="24"/>
          <w:szCs w:val="24"/>
        </w:rPr>
        <w:drawing>
          <wp:inline distT="0" distB="0" distL="0" distR="0" wp14:anchorId="397BFAB1" wp14:editId="644D1F08">
            <wp:extent cx="6381750" cy="16383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381750" cy="1638300"/>
                    </a:xfrm>
                    <a:prstGeom prst="rect">
                      <a:avLst/>
                    </a:prstGeom>
                    <a:noFill/>
                    <a:ln>
                      <a:noFill/>
                    </a:ln>
                  </pic:spPr>
                </pic:pic>
              </a:graphicData>
            </a:graphic>
          </wp:inline>
        </w:drawing>
      </w:r>
    </w:p>
    <w:p w14:paraId="11A38A5D" w14:textId="77777777" w:rsidR="00000000" w:rsidRDefault="00D7422D">
      <w:r>
        <w:t> </w:t>
      </w:r>
    </w:p>
    <w:p w14:paraId="49FFCFC0" w14:textId="77777777" w:rsidR="00000000" w:rsidRDefault="00D7422D">
      <w:r>
        <w:t> </w:t>
      </w:r>
    </w:p>
    <w:p w14:paraId="75D1DAE7" w14:textId="77777777" w:rsidR="00000000" w:rsidRDefault="00D7422D">
      <w:r>
        <w:t> </w:t>
      </w:r>
    </w:p>
    <w:p w14:paraId="0EC7CE2D" w14:textId="77777777" w:rsidR="00000000" w:rsidRDefault="00D7422D">
      <w:r>
        <w:t> </w:t>
      </w:r>
    </w:p>
    <w:p w14:paraId="223D4A60" w14:textId="77777777" w:rsidR="00000000" w:rsidRDefault="00D7422D">
      <w:r>
        <w:t> </w:t>
      </w:r>
    </w:p>
    <w:p w14:paraId="245AF6EE" w14:textId="77777777" w:rsidR="00000000" w:rsidRDefault="00D7422D">
      <w:pPr>
        <w:pStyle w:val="tekstvoorblad"/>
      </w:pPr>
      <w:r>
        <w:t>RESULTATEN</w:t>
      </w:r>
    </w:p>
    <w:p w14:paraId="50BFC8D3" w14:textId="77777777" w:rsidR="00000000" w:rsidRDefault="00D7422D">
      <w:r>
        <w:t> </w:t>
      </w:r>
    </w:p>
    <w:p w14:paraId="6888219D" w14:textId="77777777" w:rsidR="00000000" w:rsidRDefault="00D7422D">
      <w:r>
        <w:t> </w:t>
      </w:r>
    </w:p>
    <w:p w14:paraId="497E7181" w14:textId="77777777" w:rsidR="00000000" w:rsidRDefault="00D7422D">
      <w:pPr>
        <w:pStyle w:val="tekstvoorblad"/>
      </w:pPr>
      <w:r>
        <w:t>bs De Bolster, Nuth 2020 leerlingen</w:t>
      </w:r>
    </w:p>
    <w:p w14:paraId="12D54A2B" w14:textId="77777777" w:rsidR="00000000" w:rsidRDefault="00D7422D">
      <w:r>
        <w:t> </w:t>
      </w:r>
    </w:p>
    <w:p w14:paraId="1B8B011B" w14:textId="77777777" w:rsidR="00000000" w:rsidRDefault="00D7422D">
      <w:pPr>
        <w:pStyle w:val="tekstvoorblad"/>
      </w:pPr>
      <w:r>
        <w:br/>
        <w:t>EXTERNE BENCHMARK</w:t>
      </w:r>
    </w:p>
    <w:p w14:paraId="3EB6261A" w14:textId="77777777" w:rsidR="00000000" w:rsidRDefault="00D7422D">
      <w:r>
        <w:t> </w:t>
      </w:r>
    </w:p>
    <w:p w14:paraId="6CE07D3F" w14:textId="77777777" w:rsidR="00000000" w:rsidRDefault="00D7422D">
      <w:r>
        <w:t> </w:t>
      </w:r>
    </w:p>
    <w:p w14:paraId="7B31D6DD" w14:textId="77777777" w:rsidR="00000000" w:rsidRDefault="00D7422D">
      <w:r>
        <w:t> </w:t>
      </w:r>
    </w:p>
    <w:p w14:paraId="420CDB97" w14:textId="77777777" w:rsidR="00000000" w:rsidRDefault="00D7422D">
      <w:r>
        <w:t> </w:t>
      </w:r>
    </w:p>
    <w:p w14:paraId="0250FAB7" w14:textId="77777777" w:rsidR="00000000" w:rsidRDefault="00D7422D">
      <w:r>
        <w:t> </w:t>
      </w:r>
    </w:p>
    <w:p w14:paraId="77AEDD33" w14:textId="77777777" w:rsidR="00000000" w:rsidRDefault="00D7422D">
      <w:r>
        <w:t> </w:t>
      </w:r>
    </w:p>
    <w:p w14:paraId="0A68D981" w14:textId="77777777" w:rsidR="00000000" w:rsidRDefault="00D7422D">
      <w:r>
        <w:t> </w:t>
      </w:r>
    </w:p>
    <w:p w14:paraId="736CEA86" w14:textId="77777777" w:rsidR="00000000" w:rsidRDefault="00D7422D">
      <w:r>
        <w:t> </w:t>
      </w:r>
    </w:p>
    <w:p w14:paraId="346E0D84" w14:textId="77777777" w:rsidR="00000000" w:rsidRDefault="00D7422D">
      <w:r>
        <w:t> </w:t>
      </w:r>
    </w:p>
    <w:p w14:paraId="7D095E16" w14:textId="77777777" w:rsidR="00000000" w:rsidRDefault="00D7422D">
      <w:r>
        <w:t> </w:t>
      </w:r>
    </w:p>
    <w:p w14:paraId="6B6B69BA" w14:textId="77777777" w:rsidR="00000000" w:rsidRDefault="00D7422D">
      <w:r>
        <w:t> </w:t>
      </w:r>
    </w:p>
    <w:p w14:paraId="12C3E89A" w14:textId="77777777" w:rsidR="00000000" w:rsidRDefault="00D7422D">
      <w:r>
        <w:t> </w:t>
      </w:r>
    </w:p>
    <w:p w14:paraId="00BF224F" w14:textId="77777777" w:rsidR="00000000" w:rsidRDefault="00D7422D">
      <w:r>
        <w:t> </w:t>
      </w:r>
    </w:p>
    <w:p w14:paraId="3F93D351" w14:textId="77777777" w:rsidR="00000000" w:rsidRDefault="00D7422D">
      <w:r>
        <w:t> </w:t>
      </w:r>
    </w:p>
    <w:p w14:paraId="251EA11F" w14:textId="77777777" w:rsidR="00000000" w:rsidRDefault="00D7422D">
      <w:r>
        <w:t> </w:t>
      </w:r>
    </w:p>
    <w:p w14:paraId="2317E746" w14:textId="77777777" w:rsidR="00000000" w:rsidRDefault="00D7422D">
      <w:r>
        <w:t> </w:t>
      </w:r>
    </w:p>
    <w:p w14:paraId="67102711" w14:textId="77777777" w:rsidR="00000000" w:rsidRDefault="00D7422D">
      <w:r>
        <w:t> </w:t>
      </w:r>
    </w:p>
    <w:p w14:paraId="71B7B1AE" w14:textId="77777777" w:rsidR="00000000" w:rsidRDefault="00D7422D">
      <w:r>
        <w:t> </w:t>
      </w:r>
    </w:p>
    <w:p w14:paraId="2F285FBE" w14:textId="77777777" w:rsidR="00000000" w:rsidRDefault="00D7422D">
      <w:r>
        <w:t> </w:t>
      </w:r>
    </w:p>
    <w:p w14:paraId="3AEDB57E" w14:textId="77777777" w:rsidR="00000000" w:rsidRDefault="00D7422D">
      <w:r>
        <w:t>december 2020</w:t>
      </w:r>
    </w:p>
    <w:p w14:paraId="4C5888D3" w14:textId="77777777" w:rsidR="00000000" w:rsidRDefault="00D7422D">
      <w:r>
        <w:t> </w:t>
      </w:r>
    </w:p>
    <w:p w14:paraId="7B85EFA0" w14:textId="77777777" w:rsidR="00000000" w:rsidRDefault="00D7422D">
      <w:r>
        <w:t> </w:t>
      </w:r>
    </w:p>
    <w:p w14:paraId="5C46B952" w14:textId="77777777" w:rsidR="00000000" w:rsidRDefault="00D7422D">
      <w:pPr>
        <w:pStyle w:val="Kop2"/>
        <w:spacing w:line="240" w:lineRule="atLeast"/>
        <w:ind w:left="737"/>
        <w:jc w:val="left"/>
        <w:rPr>
          <w:rFonts w:eastAsia="Times New Roman"/>
        </w:rPr>
      </w:pPr>
      <w:r>
        <w:rPr>
          <w:b w:val="0"/>
          <w:bCs w:val="0"/>
          <w:caps w:val="0"/>
        </w:rPr>
        <w:br w:type="page"/>
      </w:r>
      <w:r>
        <w:rPr>
          <w:rFonts w:eastAsia="Times New Roman"/>
        </w:rPr>
        <w:lastRenderedPageBreak/>
        <w:t>algemeen</w:t>
      </w:r>
    </w:p>
    <w:p w14:paraId="204063B8" w14:textId="77777777" w:rsidR="00000000" w:rsidRDefault="00D7422D">
      <w:pPr>
        <w:spacing w:line="240" w:lineRule="atLeast"/>
      </w:pPr>
      <w:r>
        <w:t> </w:t>
      </w:r>
    </w:p>
    <w:p w14:paraId="613E5705" w14:textId="77777777" w:rsidR="00000000" w:rsidRDefault="00D7422D">
      <w:pPr>
        <w:spacing w:line="240" w:lineRule="atLeast"/>
      </w:pPr>
      <w:r>
        <w:t> </w:t>
      </w:r>
    </w:p>
    <w:p w14:paraId="2F9D381A" w14:textId="77777777" w:rsidR="00000000" w:rsidRDefault="00D7422D">
      <w:pPr>
        <w:pStyle w:val="Kop3"/>
        <w:spacing w:line="240" w:lineRule="atLeast"/>
        <w:rPr>
          <w:rFonts w:eastAsia="Times New Roman"/>
        </w:rPr>
      </w:pPr>
      <w:r>
        <w:rPr>
          <w:rFonts w:eastAsia="Times New Roman"/>
        </w:rPr>
        <w:t>Inleiding</w:t>
      </w:r>
    </w:p>
    <w:p w14:paraId="3D7E1CC1" w14:textId="77777777" w:rsidR="00000000" w:rsidRDefault="00D7422D">
      <w:pPr>
        <w:spacing w:line="240" w:lineRule="atLeast"/>
      </w:pPr>
      <w:r>
        <w:t> </w:t>
      </w:r>
    </w:p>
    <w:p w14:paraId="2A21F3C1" w14:textId="77777777" w:rsidR="00000000" w:rsidRDefault="00D7422D">
      <w:pPr>
        <w:pStyle w:val="Kop9"/>
        <w:spacing w:line="240" w:lineRule="atLeast"/>
      </w:pPr>
      <w:r>
        <w:t>Algemeen</w:t>
      </w:r>
    </w:p>
    <w:p w14:paraId="7390EC35" w14:textId="77777777" w:rsidR="00000000" w:rsidRDefault="00D7422D">
      <w:pPr>
        <w:pStyle w:val="inspringtekststandaard"/>
        <w:spacing w:line="240" w:lineRule="atLeast"/>
        <w:ind w:left="737"/>
      </w:pPr>
      <w:r>
        <w:t xml:space="preserve">Het </w:t>
      </w:r>
      <w:r>
        <w:t>instrument Qschool is een hulpmiddel om de kwaliteit van de school en/of het schoolbestuur in kaart te brengen. Het instrument bestaat uit vier vragenlijsten (één voor leerlingen, één voor ouders, één voor medewerkers en één voor het management). Met behul</w:t>
      </w:r>
      <w:r>
        <w:t>p van de vragenlijsten kan de kwaliteitsperceptie van de ouders, leerlingen en medewerkers in kaart worden gebracht. De resultaten van de vragenlijsten dienen als basis om de dialoog aan te gaan, zowel intern als extern.</w:t>
      </w:r>
    </w:p>
    <w:p w14:paraId="19C296D5" w14:textId="77777777" w:rsidR="00000000" w:rsidRDefault="00D7422D">
      <w:pPr>
        <w:pStyle w:val="inspringtekststandaard"/>
        <w:spacing w:line="240" w:lineRule="atLeast"/>
        <w:ind w:left="737"/>
      </w:pPr>
      <w:r>
        <w:t>Intern dienen de resultaten als inp</w:t>
      </w:r>
      <w:r>
        <w:t>ut voor een gesprek over de ambities van de school en/of het schoolbestuur en in hoeverre erin geslaagd wordt om deze ambities te realiseren, met andere woorden: welke aantoonbare resultaten en opbrengsten tot stand worden gebracht. Extern kunnen de result</w:t>
      </w:r>
      <w:r>
        <w:t>aten worden gebruikt om de dialoog aan te gaan met de belanghebbenden (stakeholders) over de ambities, de maatschappelijke opdracht, de rol van de school in de omgeving en het afleggen van (horizontale) verantwoording.</w:t>
      </w:r>
    </w:p>
    <w:p w14:paraId="59211A4E" w14:textId="77777777" w:rsidR="00000000" w:rsidRDefault="00D7422D">
      <w:pPr>
        <w:pStyle w:val="inspringtekststandaard"/>
        <w:spacing w:line="240" w:lineRule="atLeast"/>
        <w:ind w:left="737"/>
      </w:pPr>
      <w:r>
        <w:t>De dialoog gaat dus over de dingen di</w:t>
      </w:r>
      <w:r>
        <w:t>e de school zèlf van belang vindt alsmede de dingen die voor anderen van belang zijn.</w:t>
      </w:r>
    </w:p>
    <w:p w14:paraId="65FB13A0" w14:textId="77777777" w:rsidR="00000000" w:rsidRDefault="00D7422D">
      <w:pPr>
        <w:spacing w:line="240" w:lineRule="auto"/>
        <w:rPr>
          <w:rFonts w:ascii="Times New Roman" w:eastAsia="Times New Roman" w:hAnsi="Times New Roman" w:cs="Times New Roman"/>
          <w:sz w:val="24"/>
          <w:szCs w:val="24"/>
        </w:rPr>
      </w:pPr>
    </w:p>
    <w:p w14:paraId="6C2CD38A" w14:textId="77777777" w:rsidR="00000000" w:rsidRDefault="00D7422D">
      <w:pPr>
        <w:pStyle w:val="Kop9"/>
        <w:spacing w:line="240" w:lineRule="atLeast"/>
      </w:pPr>
      <w:r>
        <w:t>Opbouw vragenlijsten</w:t>
      </w:r>
    </w:p>
    <w:p w14:paraId="0EBC3CFD" w14:textId="77777777" w:rsidR="00000000" w:rsidRDefault="00D7422D">
      <w:pPr>
        <w:pStyle w:val="inspringtekststandaard"/>
        <w:spacing w:line="240" w:lineRule="atLeast"/>
        <w:ind w:left="737"/>
      </w:pPr>
      <w:r>
        <w:t xml:space="preserve">De vragenlijsten zijn opgebouwd uit verschillende domeinen en rubrieken. De vragen binnen de rubrieken worden items genoemd. Per rubriek is door de </w:t>
      </w:r>
      <w:r>
        <w:t>respondenten gescoord op verschillende items. Daarbij is gebruik gemaakt van een vierpuntsschaal, van oneens naar eens. Dit betekent cijfermatig dat de respondenten aan een item een minimale score kunnen geven van 1 en een maximale score van 4. De uitzonde</w:t>
      </w:r>
      <w:r>
        <w:t>ring hierop wordt gevormd door de Vensters PO vragen voor leerlingen. Meer informatie over deze rubriek vindt u onder het kopje ‘Vensters PO’. Daarnaast is de verschillende doelgroepen gevraagd de school een rapportcijfer te geven (van 1 tot en met 10).</w:t>
      </w:r>
    </w:p>
    <w:p w14:paraId="667C6018" w14:textId="77777777" w:rsidR="00000000" w:rsidRDefault="00D7422D">
      <w:pPr>
        <w:spacing w:line="240" w:lineRule="auto"/>
        <w:rPr>
          <w:rFonts w:ascii="Times New Roman" w:eastAsia="Times New Roman" w:hAnsi="Times New Roman" w:cs="Times New Roman"/>
          <w:sz w:val="24"/>
          <w:szCs w:val="24"/>
        </w:rPr>
      </w:pPr>
    </w:p>
    <w:p w14:paraId="4C7F5CAC" w14:textId="77777777" w:rsidR="00000000" w:rsidRDefault="00D7422D">
      <w:pPr>
        <w:pStyle w:val="Kop9"/>
        <w:spacing w:line="240" w:lineRule="atLeast"/>
      </w:pPr>
      <w:r>
        <w:t>V</w:t>
      </w:r>
      <w:r>
        <w:t>ensters PO</w:t>
      </w:r>
    </w:p>
    <w:p w14:paraId="4D131829" w14:textId="77777777" w:rsidR="00000000" w:rsidRDefault="00D7422D">
      <w:pPr>
        <w:pStyle w:val="inspringtekststandaard"/>
        <w:spacing w:line="240" w:lineRule="atLeast"/>
        <w:ind w:left="737"/>
      </w:pPr>
      <w:r>
        <w:t>De resultaten beginnen met de scores op de vragen 'Vensters PO Leerlingen'. Deze vragen kennen verschillende antwoordschalen, waardoor de gemiddelde score niet altijd even veel zegt. Voor een overzicht van de vragen en schalen, verwijzen we naar</w:t>
      </w:r>
      <w:r>
        <w:t xml:space="preserve"> het kopje ‘vensters po voor leerlingen’. Vanwege de wisselende antwoordschalen nemen we de scores op deze vragen niet mee in de berekening van de gemiddelde itemscore.</w:t>
      </w:r>
    </w:p>
    <w:p w14:paraId="7092C963" w14:textId="77777777" w:rsidR="00000000" w:rsidRDefault="00D7422D">
      <w:pPr>
        <w:spacing w:line="240" w:lineRule="auto"/>
        <w:rPr>
          <w:rFonts w:ascii="Times New Roman" w:eastAsia="Times New Roman" w:hAnsi="Times New Roman" w:cs="Times New Roman"/>
          <w:sz w:val="24"/>
          <w:szCs w:val="24"/>
        </w:rPr>
      </w:pPr>
    </w:p>
    <w:p w14:paraId="4A44DBC4" w14:textId="77777777" w:rsidR="00000000" w:rsidRDefault="00D7422D">
      <w:pPr>
        <w:pStyle w:val="inspringtekststandaard"/>
        <w:spacing w:line="240" w:lineRule="atLeast"/>
        <w:ind w:left="737"/>
      </w:pPr>
      <w:r>
        <w:t xml:space="preserve">Ook management, medewerkers en ouders vullen ‘Vensters PO’ vragen in. Hierin zijn ook </w:t>
      </w:r>
      <w:r>
        <w:t>de sociale veiligheidsvragen meegenomen. Deze vragen worden op een vierpuntsschaal afgenomen. Bij vier van de vijf vragen ‘sociale veiligheid’ is er sprake van een negatieve formulering van de vragen en een omgekeerde antwoordschaal (van ‘nooit’ tot ‘altij</w:t>
      </w:r>
      <w:r>
        <w:t>d’). Een lage score op deze items geeft aan dat leerlingen zich sociaal veilig voelen.</w:t>
      </w:r>
    </w:p>
    <w:p w14:paraId="4EAFD155" w14:textId="77777777" w:rsidR="00000000" w:rsidRDefault="00D7422D">
      <w:pPr>
        <w:pStyle w:val="inspringtekststandaard"/>
        <w:spacing w:line="240" w:lineRule="atLeast"/>
        <w:ind w:left="737"/>
      </w:pPr>
      <w:r>
        <w:t>De scores op deze vragen worden om bovenstaande reden niet meegenomen in de berekening van de gemiddelde itemscore.</w:t>
      </w:r>
    </w:p>
    <w:p w14:paraId="49FE8FA2" w14:textId="77777777" w:rsidR="00000000" w:rsidRDefault="00D7422D">
      <w:pPr>
        <w:spacing w:line="240" w:lineRule="auto"/>
        <w:rPr>
          <w:rFonts w:ascii="Times New Roman" w:eastAsia="Times New Roman" w:hAnsi="Times New Roman" w:cs="Times New Roman"/>
          <w:sz w:val="24"/>
          <w:szCs w:val="24"/>
        </w:rPr>
      </w:pPr>
    </w:p>
    <w:p w14:paraId="45D906F4" w14:textId="77777777" w:rsidR="00000000" w:rsidRDefault="00D7422D">
      <w:pPr>
        <w:pStyle w:val="Kop9"/>
        <w:spacing w:line="240" w:lineRule="atLeast"/>
      </w:pPr>
      <w:r>
        <w:t>Externe vergelijking</w:t>
      </w:r>
    </w:p>
    <w:p w14:paraId="31EC94F6" w14:textId="77777777" w:rsidR="00000000" w:rsidRDefault="00D7422D">
      <w:pPr>
        <w:pStyle w:val="inspringtekststandaard"/>
        <w:spacing w:line="240" w:lineRule="atLeast"/>
        <w:ind w:left="737"/>
      </w:pPr>
      <w:r>
        <w:t xml:space="preserve">B &amp; </w:t>
      </w:r>
      <w:r>
        <w:t>T beschikt over een groot bestand van resultaten van Qschool, afgenomen bij vele scholen in Nederland. Door deze resultaten te middelen ontstaat een goed beeld van de ‘gemiddelde school’. Deze gemiddelde resultaten worden de ‘externe benchmark’ genoemd.</w:t>
      </w:r>
    </w:p>
    <w:p w14:paraId="5C1B5E6F" w14:textId="77777777" w:rsidR="00000000" w:rsidRDefault="00D7422D">
      <w:pPr>
        <w:pStyle w:val="inspringtekststandaard"/>
        <w:spacing w:line="240" w:lineRule="atLeast"/>
        <w:ind w:left="737"/>
      </w:pPr>
      <w:r>
        <w:t>In</w:t>
      </w:r>
      <w:r>
        <w:t xml:space="preserve"> deze rapportage van Qschool worden de resultaten van de school/het schoolbestuur vergeleken met de externe benchmark, waardoor een beeld wordt verkregen van hoe de organisatie presteert in vergelijking met de ‘gemiddelde school’.</w:t>
      </w:r>
    </w:p>
    <w:p w14:paraId="2102A397" w14:textId="77777777" w:rsidR="00000000" w:rsidRDefault="00D7422D">
      <w:pPr>
        <w:pStyle w:val="inspringtekststandaard"/>
        <w:spacing w:line="240" w:lineRule="atLeast"/>
        <w:ind w:left="737"/>
      </w:pPr>
      <w:r>
        <w:lastRenderedPageBreak/>
        <w:t>Voor de beoordeling van d</w:t>
      </w:r>
      <w:r>
        <w:t>e afwijkingen ten opzichte van de externe benchmark, beschouwen we een afwijking van 0,3 punt als relevant. Deze scores zijn groen gemarkeerd wanneer het een positieve afwijking ten opzichte van de externe benchmark van 0,3 punt of meer betreft en rood wan</w:t>
      </w:r>
      <w:r>
        <w:t>neer het een negatieve afwijking betreft.</w:t>
      </w:r>
    </w:p>
    <w:p w14:paraId="7D4A9478" w14:textId="77777777" w:rsidR="00000000" w:rsidRDefault="00D7422D">
      <w:pPr>
        <w:spacing w:line="240" w:lineRule="auto"/>
        <w:rPr>
          <w:rFonts w:ascii="Times New Roman" w:eastAsia="Times New Roman" w:hAnsi="Times New Roman" w:cs="Times New Roman"/>
          <w:sz w:val="24"/>
          <w:szCs w:val="24"/>
        </w:rPr>
      </w:pPr>
    </w:p>
    <w:p w14:paraId="312EBDC6" w14:textId="77777777" w:rsidR="00000000" w:rsidRDefault="00D7422D">
      <w:pPr>
        <w:pStyle w:val="inspringtekststandaard"/>
        <w:spacing w:line="240" w:lineRule="atLeast"/>
        <w:ind w:left="737"/>
      </w:pPr>
      <w:r>
        <w:t xml:space="preserve">Bij het invullen van de vragenlijsten hebben de respondenten ook de mogelijkheid </w:t>
      </w:r>
      <w:r>
        <w:t>gekregen een aantal opmerkingen (open vragen) te maken. De antwoorden op deze vragen bieden aanvullende informatie. Deze opmerkingen kunnen niet gekwantificeerd worden en zijn dus in hoge mate subjectief. Omdat deze opmerkingen niet mee worden genomen in e</w:t>
      </w:r>
      <w:r>
        <w:t>en memo, raden we de directie van de school aan de opmerkingen door te nemen. Indien er drie of meer opmerkingen in dezelfde trant gemaakt worden is het relevant en kan de informatie teruggekoppeld worden naar stakeholders. Het verdient de aanbeveling de o</w:t>
      </w:r>
      <w:r>
        <w:t>pen opmerkingen zelf niet in zijn geheel terug te koppelen aan stakeholders.</w:t>
      </w:r>
    </w:p>
    <w:p w14:paraId="69332A45" w14:textId="77777777" w:rsidR="00000000" w:rsidRDefault="00D7422D">
      <w:r>
        <w:rPr>
          <w:rFonts w:ascii="Times New Roman" w:eastAsia="Times New Roman" w:hAnsi="Times New Roman" w:cs="Times New Roman"/>
          <w:sz w:val="24"/>
          <w:szCs w:val="24"/>
        </w:rPr>
        <w:br w:type="page"/>
      </w:r>
      <w:bookmarkStart w:id="0" w:name="_Toc181098923" w:colFirst="0" w:colLast="0"/>
    </w:p>
    <w:p w14:paraId="6AE994FF" w14:textId="77777777" w:rsidR="00000000" w:rsidRDefault="00D7422D">
      <w:pPr>
        <w:pStyle w:val="Kop3"/>
        <w:spacing w:line="240" w:lineRule="atLeast"/>
        <w:rPr>
          <w:rFonts w:eastAsia="Times New Roman"/>
        </w:rPr>
      </w:pPr>
      <w:r>
        <w:rPr>
          <w:rFonts w:eastAsia="Times New Roman"/>
        </w:rPr>
        <w:lastRenderedPageBreak/>
        <w:t>Respons</w:t>
      </w:r>
    </w:p>
    <w:p w14:paraId="1E05E51D" w14:textId="77777777" w:rsidR="00000000" w:rsidRDefault="00D7422D">
      <w:pPr>
        <w:spacing w:line="240" w:lineRule="auto"/>
        <w:rPr>
          <w:rFonts w:ascii="Times New Roman" w:eastAsia="Times New Roman" w:hAnsi="Times New Roman" w:cs="Times New Roman"/>
          <w:sz w:val="24"/>
          <w:szCs w:val="24"/>
        </w:rPr>
      </w:pPr>
    </w:p>
    <w:tbl>
      <w:tblPr>
        <w:tblW w:w="0" w:type="auto"/>
        <w:tblInd w:w="734" w:type="dxa"/>
        <w:tblBorders>
          <w:top w:val="single" w:sz="12" w:space="0" w:color="3C668C"/>
          <w:bottom w:val="single" w:sz="12" w:space="0" w:color="3C668C"/>
        </w:tblBorders>
        <w:tblLook w:val="04A0" w:firstRow="1" w:lastRow="0" w:firstColumn="1" w:lastColumn="0" w:noHBand="0" w:noVBand="1"/>
      </w:tblPr>
      <w:tblGrid>
        <w:gridCol w:w="2400"/>
        <w:gridCol w:w="1212"/>
      </w:tblGrid>
      <w:tr w:rsidR="00000000" w14:paraId="1D4BA8E4" w14:textId="77777777">
        <w:trPr>
          <w:trHeight w:val="329"/>
        </w:trPr>
        <w:tc>
          <w:tcPr>
            <w:tcW w:w="2400" w:type="dxa"/>
            <w:tcBorders>
              <w:top w:val="single" w:sz="12" w:space="0" w:color="3C668C"/>
              <w:left w:val="single" w:sz="12" w:space="0" w:color="3C668C"/>
              <w:bottom w:val="single" w:sz="12" w:space="0" w:color="3C668C"/>
              <w:right w:val="single" w:sz="4" w:space="0" w:color="3C668C"/>
            </w:tcBorders>
            <w:noWrap/>
            <w:hideMark/>
          </w:tcPr>
          <w:p w14:paraId="6333415B" w14:textId="77777777" w:rsidR="00000000" w:rsidRDefault="00D7422D">
            <w:pPr>
              <w:rPr>
                <w:rFonts w:ascii="Times New Roman" w:eastAsia="Times New Roman" w:hAnsi="Times New Roman" w:cs="Times New Roman"/>
                <w:sz w:val="24"/>
                <w:szCs w:val="24"/>
              </w:rPr>
            </w:pPr>
            <w:r>
              <w:rPr>
                <w:sz w:val="3"/>
                <w:szCs w:val="24"/>
              </w:rPr>
              <w:br w:type="page"/>
            </w:r>
          </w:p>
        </w:tc>
        <w:tc>
          <w:tcPr>
            <w:tcW w:w="1134" w:type="dxa"/>
            <w:tcBorders>
              <w:top w:val="single" w:sz="12" w:space="0" w:color="3C668C"/>
              <w:left w:val="single" w:sz="4" w:space="0" w:color="3C668C"/>
              <w:bottom w:val="single" w:sz="12" w:space="0" w:color="3C668C"/>
              <w:right w:val="single" w:sz="12" w:space="0" w:color="3C668C"/>
            </w:tcBorders>
            <w:vAlign w:val="center"/>
            <w:hideMark/>
          </w:tcPr>
          <w:p w14:paraId="405F2643" w14:textId="77777777" w:rsidR="00000000" w:rsidRDefault="00D7422D">
            <w:pPr>
              <w:tabs>
                <w:tab w:val="left" w:pos="708"/>
              </w:tabs>
              <w:spacing w:line="240" w:lineRule="auto"/>
              <w:jc w:val="center"/>
            </w:pPr>
            <w:r>
              <w:rPr>
                <w:b/>
                <w:lang w:val="en-US" w:eastAsia="en-US"/>
              </w:rPr>
              <w:t>najaar 2020 Leerlingen</w:t>
            </w:r>
          </w:p>
        </w:tc>
      </w:tr>
      <w:tr w:rsidR="00000000" w14:paraId="76CECD6D" w14:textId="77777777">
        <w:trPr>
          <w:trHeight w:val="329"/>
        </w:trPr>
        <w:tc>
          <w:tcPr>
            <w:tcW w:w="1134" w:type="dxa"/>
            <w:tcBorders>
              <w:top w:val="single" w:sz="12" w:space="0" w:color="3C668C"/>
              <w:left w:val="single" w:sz="12" w:space="0" w:color="3C668C"/>
              <w:bottom w:val="single" w:sz="4" w:space="0" w:color="3C668C"/>
              <w:right w:val="single" w:sz="2" w:space="0" w:color="3C668C"/>
            </w:tcBorders>
            <w:noWrap/>
            <w:vAlign w:val="center"/>
            <w:hideMark/>
          </w:tcPr>
          <w:p w14:paraId="7A9AF06A" w14:textId="77777777" w:rsidR="00000000" w:rsidRDefault="00D7422D">
            <w:pPr>
              <w:tabs>
                <w:tab w:val="left" w:pos="708"/>
              </w:tabs>
              <w:spacing w:line="240" w:lineRule="auto"/>
              <w:rPr>
                <w:color w:val="000000"/>
                <w:lang w:val="en-US" w:eastAsia="en-US"/>
              </w:rPr>
            </w:pPr>
            <w:r>
              <w:rPr>
                <w:color w:val="000000"/>
                <w:lang w:val="en-US" w:eastAsia="en-US"/>
              </w:rPr>
              <w:t>Respons bs De Bolster, Nuth 2020 leerlingen</w:t>
            </w:r>
            <w:r>
              <w:rPr>
                <w:lang w:val="en-US"/>
              </w:rPr>
              <w:t xml:space="preserve"> </w:t>
            </w:r>
          </w:p>
        </w:tc>
        <w:tc>
          <w:tcPr>
            <w:tcW w:w="1140" w:type="dxa"/>
            <w:tcBorders>
              <w:top w:val="single" w:sz="12" w:space="0" w:color="3C668C"/>
              <w:left w:val="nil"/>
              <w:bottom w:val="single" w:sz="4" w:space="0" w:color="3C668C"/>
              <w:right w:val="single" w:sz="12" w:space="0" w:color="3C668C"/>
            </w:tcBorders>
            <w:noWrap/>
            <w:vAlign w:val="center"/>
            <w:hideMark/>
          </w:tcPr>
          <w:p w14:paraId="25061E8D" w14:textId="77777777" w:rsidR="00000000" w:rsidRDefault="00D7422D">
            <w:pPr>
              <w:tabs>
                <w:tab w:val="left" w:pos="708"/>
              </w:tabs>
              <w:spacing w:line="240" w:lineRule="auto"/>
              <w:jc w:val="center"/>
              <w:rPr>
                <w:color w:val="000000"/>
                <w:lang w:val="en-US" w:eastAsia="en-US"/>
              </w:rPr>
            </w:pPr>
            <w:r>
              <w:rPr>
                <w:color w:val="000000"/>
                <w:lang w:val="en-US" w:eastAsia="en-US"/>
              </w:rPr>
              <w:t>112</w:t>
            </w:r>
          </w:p>
        </w:tc>
      </w:tr>
      <w:tr w:rsidR="00000000" w14:paraId="28220BDD" w14:textId="77777777">
        <w:trPr>
          <w:trHeight w:val="329"/>
        </w:trPr>
        <w:tc>
          <w:tcPr>
            <w:tcW w:w="1134" w:type="dxa"/>
            <w:tcBorders>
              <w:top w:val="single" w:sz="4" w:space="0" w:color="3C668C"/>
              <w:left w:val="single" w:sz="12" w:space="0" w:color="3C668C"/>
              <w:bottom w:val="single" w:sz="4" w:space="0" w:color="3C668C"/>
              <w:right w:val="single" w:sz="2" w:space="0" w:color="3C668C"/>
            </w:tcBorders>
            <w:noWrap/>
            <w:vAlign w:val="center"/>
            <w:hideMark/>
          </w:tcPr>
          <w:p w14:paraId="76ABD65D" w14:textId="77777777" w:rsidR="00000000" w:rsidRDefault="00D7422D">
            <w:pPr>
              <w:tabs>
                <w:tab w:val="left" w:pos="708"/>
              </w:tabs>
              <w:spacing w:line="240" w:lineRule="auto"/>
              <w:rPr>
                <w:color w:val="000000"/>
                <w:lang w:val="en-US" w:eastAsia="en-US"/>
              </w:rPr>
            </w:pPr>
            <w:r>
              <w:rPr>
                <w:color w:val="000000"/>
                <w:lang w:val="en-US" w:eastAsia="en-US"/>
              </w:rPr>
              <w:t>Totale populatie</w:t>
            </w:r>
            <w:r>
              <w:rPr>
                <w:lang w:val="en-US"/>
              </w:rPr>
              <w:t xml:space="preserve"> </w:t>
            </w:r>
          </w:p>
        </w:tc>
        <w:tc>
          <w:tcPr>
            <w:tcW w:w="1140" w:type="dxa"/>
            <w:tcBorders>
              <w:top w:val="single" w:sz="4" w:space="0" w:color="3C668C"/>
              <w:left w:val="nil"/>
              <w:bottom w:val="single" w:sz="4" w:space="0" w:color="3C668C"/>
              <w:right w:val="single" w:sz="12" w:space="0" w:color="3C668C"/>
            </w:tcBorders>
            <w:noWrap/>
            <w:vAlign w:val="center"/>
            <w:hideMark/>
          </w:tcPr>
          <w:p w14:paraId="394BB315" w14:textId="77777777" w:rsidR="00000000" w:rsidRDefault="00D7422D">
            <w:pPr>
              <w:tabs>
                <w:tab w:val="left" w:pos="708"/>
              </w:tabs>
              <w:spacing w:line="240" w:lineRule="auto"/>
              <w:jc w:val="center"/>
              <w:rPr>
                <w:color w:val="000000"/>
                <w:lang w:val="en-US" w:eastAsia="en-US"/>
              </w:rPr>
            </w:pPr>
            <w:r>
              <w:rPr>
                <w:color w:val="000000"/>
                <w:lang w:val="en-US" w:eastAsia="en-US"/>
              </w:rPr>
              <w:t>109</w:t>
            </w:r>
          </w:p>
        </w:tc>
      </w:tr>
      <w:tr w:rsidR="00000000" w14:paraId="1643AA8C" w14:textId="77777777">
        <w:trPr>
          <w:trHeight w:val="329"/>
        </w:trPr>
        <w:tc>
          <w:tcPr>
            <w:tcW w:w="1134" w:type="dxa"/>
            <w:tcBorders>
              <w:top w:val="single" w:sz="4" w:space="0" w:color="3C668C"/>
              <w:left w:val="single" w:sz="12" w:space="0" w:color="3C668C"/>
              <w:bottom w:val="single" w:sz="12" w:space="0" w:color="3C668C"/>
              <w:right w:val="single" w:sz="2" w:space="0" w:color="3C668C"/>
            </w:tcBorders>
            <w:noWrap/>
            <w:vAlign w:val="center"/>
            <w:hideMark/>
          </w:tcPr>
          <w:p w14:paraId="3D2DF1F4" w14:textId="77777777" w:rsidR="00000000" w:rsidRDefault="00D7422D">
            <w:pPr>
              <w:tabs>
                <w:tab w:val="left" w:pos="708"/>
              </w:tabs>
              <w:spacing w:line="240" w:lineRule="auto"/>
              <w:rPr>
                <w:color w:val="000000"/>
                <w:lang w:val="en-US" w:eastAsia="en-US"/>
              </w:rPr>
            </w:pPr>
            <w:r>
              <w:rPr>
                <w:color w:val="000000"/>
                <w:lang w:val="en-US" w:eastAsia="en-US"/>
              </w:rPr>
              <w:t>Responspercentage</w:t>
            </w:r>
            <w:r>
              <w:rPr>
                <w:lang w:val="en-US"/>
              </w:rPr>
              <w:t xml:space="preserve"> </w:t>
            </w:r>
          </w:p>
        </w:tc>
        <w:tc>
          <w:tcPr>
            <w:tcW w:w="1140" w:type="dxa"/>
            <w:tcBorders>
              <w:top w:val="single" w:sz="4" w:space="0" w:color="3C668C"/>
              <w:left w:val="nil"/>
              <w:bottom w:val="single" w:sz="12" w:space="0" w:color="3C668C"/>
              <w:right w:val="single" w:sz="12" w:space="0" w:color="3C668C"/>
            </w:tcBorders>
            <w:noWrap/>
            <w:vAlign w:val="center"/>
            <w:hideMark/>
          </w:tcPr>
          <w:p w14:paraId="26A80139" w14:textId="77777777" w:rsidR="00000000" w:rsidRDefault="00D7422D">
            <w:pPr>
              <w:tabs>
                <w:tab w:val="left" w:pos="708"/>
              </w:tabs>
              <w:spacing w:line="240" w:lineRule="auto"/>
              <w:jc w:val="center"/>
              <w:rPr>
                <w:color w:val="000000"/>
                <w:lang w:val="en-US" w:eastAsia="en-US"/>
              </w:rPr>
            </w:pPr>
            <w:r>
              <w:rPr>
                <w:color w:val="000000"/>
                <w:lang w:val="en-US" w:eastAsia="en-US"/>
              </w:rPr>
              <w:t>103%</w:t>
            </w:r>
          </w:p>
        </w:tc>
      </w:tr>
    </w:tbl>
    <w:p w14:paraId="3CF2713C" w14:textId="77777777" w:rsidR="00000000" w:rsidRDefault="00D7422D"/>
    <w:p w14:paraId="3BEEE35D" w14:textId="77777777" w:rsidR="00000000" w:rsidRDefault="00D7422D"/>
    <w:p w14:paraId="56953516" w14:textId="77777777" w:rsidR="00000000" w:rsidRDefault="00D7422D"/>
    <w:p w14:paraId="35225FB7" w14:textId="77777777" w:rsidR="00000000" w:rsidRDefault="00D7422D"/>
    <w:p w14:paraId="02BEB757" w14:textId="77777777" w:rsidR="00000000" w:rsidRDefault="00D7422D">
      <w:pPr>
        <w:jc w:val="center"/>
      </w:pPr>
      <w:r>
        <w:rPr>
          <w:noProof/>
        </w:rPr>
        <w:drawing>
          <wp:inline distT="0" distB="0" distL="0" distR="0" wp14:anchorId="7DAC61BA" wp14:editId="592E0505">
            <wp:extent cx="3905250" cy="381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905250" cy="3810000"/>
                    </a:xfrm>
                    <a:prstGeom prst="rect">
                      <a:avLst/>
                    </a:prstGeom>
                    <a:noFill/>
                    <a:ln>
                      <a:noFill/>
                    </a:ln>
                  </pic:spPr>
                </pic:pic>
              </a:graphicData>
            </a:graphic>
          </wp:inline>
        </w:drawing>
      </w:r>
    </w:p>
    <w:p w14:paraId="698C3F7F" w14:textId="77777777" w:rsidR="00000000" w:rsidRDefault="00D7422D">
      <w:r>
        <w:br w:type="page"/>
      </w:r>
    </w:p>
    <w:p w14:paraId="446CE280" w14:textId="77777777" w:rsidR="00000000" w:rsidRDefault="00D7422D">
      <w:pPr>
        <w:pStyle w:val="Kop3"/>
        <w:spacing w:line="240" w:lineRule="atLeast"/>
        <w:rPr>
          <w:rFonts w:eastAsia="Times New Roman"/>
        </w:rPr>
      </w:pPr>
      <w:r>
        <w:rPr>
          <w:rFonts w:eastAsia="Times New Roman"/>
        </w:rPr>
        <w:lastRenderedPageBreak/>
        <w:t>Rapportcijfers</w:t>
      </w:r>
    </w:p>
    <w:p w14:paraId="203A208B" w14:textId="77777777" w:rsidR="00000000" w:rsidRDefault="00D7422D"/>
    <w:tbl>
      <w:tblPr>
        <w:tblW w:w="8446" w:type="dxa"/>
        <w:tblInd w:w="734" w:type="dxa"/>
        <w:tblBorders>
          <w:top w:val="single" w:sz="12" w:space="0" w:color="3C668C"/>
          <w:bottom w:val="single" w:sz="12" w:space="0" w:color="3C668C"/>
        </w:tblBorders>
        <w:tblLook w:val="04A0" w:firstRow="1" w:lastRow="0" w:firstColumn="1" w:lastColumn="0" w:noHBand="0" w:noVBand="1"/>
      </w:tblPr>
      <w:tblGrid>
        <w:gridCol w:w="3910"/>
        <w:gridCol w:w="1512"/>
        <w:gridCol w:w="1512"/>
        <w:gridCol w:w="1512"/>
      </w:tblGrid>
      <w:tr w:rsidR="00000000" w14:paraId="7737C7AE" w14:textId="77777777">
        <w:trPr>
          <w:trHeight w:val="330"/>
        </w:trPr>
        <w:tc>
          <w:tcPr>
            <w:tcW w:w="3910" w:type="dxa"/>
            <w:tcBorders>
              <w:top w:val="single" w:sz="12" w:space="0" w:color="3C668C"/>
              <w:left w:val="single" w:sz="12" w:space="0" w:color="3C668C"/>
              <w:bottom w:val="single" w:sz="12" w:space="0" w:color="3C668C"/>
              <w:right w:val="single" w:sz="8" w:space="0" w:color="3C668C"/>
            </w:tcBorders>
            <w:noWrap/>
            <w:vAlign w:val="center"/>
            <w:hideMark/>
          </w:tcPr>
          <w:p w14:paraId="70FF3861" w14:textId="77777777" w:rsidR="00000000" w:rsidRDefault="00D7422D">
            <w:pPr>
              <w:spacing w:line="240" w:lineRule="auto"/>
            </w:pPr>
            <w:r>
              <w:rPr>
                <w:b/>
                <w:bCs/>
                <w:lang w:val="en-US"/>
              </w:rPr>
              <w:t xml:space="preserve">Doelgroep </w:t>
            </w:r>
          </w:p>
        </w:tc>
        <w:tc>
          <w:tcPr>
            <w:tcW w:w="1512" w:type="dxa"/>
            <w:tcBorders>
              <w:top w:val="single" w:sz="12" w:space="0" w:color="3C668C"/>
              <w:left w:val="nil"/>
              <w:bottom w:val="single" w:sz="12" w:space="0" w:color="3C668C"/>
              <w:right w:val="single" w:sz="8" w:space="0" w:color="3C668C"/>
            </w:tcBorders>
            <w:noWrap/>
            <w:vAlign w:val="center"/>
            <w:hideMark/>
          </w:tcPr>
          <w:p w14:paraId="0A22D0CF" w14:textId="77777777" w:rsidR="00000000" w:rsidRDefault="00D7422D">
            <w:pPr>
              <w:spacing w:line="240" w:lineRule="auto"/>
              <w:jc w:val="center"/>
            </w:pPr>
            <w:r>
              <w:rPr>
                <w:b/>
                <w:bCs/>
              </w:rPr>
              <w:t>Intern gemiddeld rapportcijfer</w:t>
            </w:r>
          </w:p>
        </w:tc>
        <w:tc>
          <w:tcPr>
            <w:tcW w:w="1512" w:type="dxa"/>
            <w:tcBorders>
              <w:top w:val="single" w:sz="12" w:space="0" w:color="3C668C"/>
              <w:left w:val="nil"/>
              <w:bottom w:val="single" w:sz="12" w:space="0" w:color="3C668C"/>
              <w:right w:val="single" w:sz="8" w:space="0" w:color="3C668C"/>
            </w:tcBorders>
            <w:noWrap/>
            <w:vAlign w:val="center"/>
            <w:hideMark/>
          </w:tcPr>
          <w:p w14:paraId="74B15A81" w14:textId="77777777" w:rsidR="00000000" w:rsidRDefault="00D7422D">
            <w:pPr>
              <w:spacing w:line="240" w:lineRule="auto"/>
              <w:jc w:val="center"/>
            </w:pPr>
            <w:r>
              <w:rPr>
                <w:b/>
                <w:bCs/>
              </w:rPr>
              <w:t>Extern gemiddeld rapportcijfer</w:t>
            </w:r>
          </w:p>
        </w:tc>
        <w:tc>
          <w:tcPr>
            <w:tcW w:w="1512" w:type="dxa"/>
            <w:tcBorders>
              <w:top w:val="single" w:sz="12" w:space="0" w:color="3C668C"/>
              <w:left w:val="nil"/>
              <w:bottom w:val="single" w:sz="12" w:space="0" w:color="3C668C"/>
              <w:right w:val="single" w:sz="12" w:space="0" w:color="3C668C"/>
            </w:tcBorders>
            <w:noWrap/>
            <w:vAlign w:val="center"/>
            <w:hideMark/>
          </w:tcPr>
          <w:p w14:paraId="52EA07BD" w14:textId="77777777" w:rsidR="00000000" w:rsidRDefault="00D7422D">
            <w:pPr>
              <w:spacing w:line="240" w:lineRule="auto"/>
              <w:jc w:val="center"/>
            </w:pPr>
            <w:r>
              <w:rPr>
                <w:b/>
                <w:bCs/>
              </w:rPr>
              <w:t>Verschil</w:t>
            </w:r>
          </w:p>
        </w:tc>
      </w:tr>
      <w:tr w:rsidR="00000000" w14:paraId="7C93EAB3" w14:textId="77777777">
        <w:trPr>
          <w:trHeight w:val="330"/>
        </w:trPr>
        <w:tc>
          <w:tcPr>
            <w:tcW w:w="3910" w:type="dxa"/>
            <w:tcBorders>
              <w:top w:val="nil"/>
              <w:left w:val="single" w:sz="12" w:space="0" w:color="3C668C"/>
              <w:bottom w:val="single" w:sz="12" w:space="0" w:color="3C668C"/>
              <w:right w:val="single" w:sz="8" w:space="0" w:color="3C668C"/>
            </w:tcBorders>
            <w:noWrap/>
            <w:vAlign w:val="center"/>
            <w:hideMark/>
          </w:tcPr>
          <w:p w14:paraId="31F45F3D" w14:textId="77777777" w:rsidR="00000000" w:rsidRDefault="00D7422D">
            <w:pPr>
              <w:spacing w:line="240" w:lineRule="auto"/>
            </w:pPr>
            <w:r>
              <w:rPr>
                <w:lang w:val="en-US"/>
              </w:rPr>
              <w:t>najaar 2020 Leerlingen</w:t>
            </w:r>
          </w:p>
        </w:tc>
        <w:tc>
          <w:tcPr>
            <w:tcW w:w="1510" w:type="dxa"/>
            <w:tcBorders>
              <w:top w:val="nil"/>
              <w:left w:val="nil"/>
              <w:bottom w:val="single" w:sz="12" w:space="0" w:color="3C668C"/>
              <w:right w:val="single" w:sz="8" w:space="0" w:color="3C668C"/>
            </w:tcBorders>
            <w:noWrap/>
            <w:vAlign w:val="center"/>
            <w:hideMark/>
          </w:tcPr>
          <w:p w14:paraId="06F678E9" w14:textId="77777777" w:rsidR="00000000" w:rsidRDefault="00D7422D">
            <w:pPr>
              <w:spacing w:line="240" w:lineRule="auto"/>
              <w:jc w:val="center"/>
            </w:pPr>
            <w:r>
              <w:t>8,1</w:t>
            </w:r>
          </w:p>
        </w:tc>
        <w:tc>
          <w:tcPr>
            <w:tcW w:w="1510" w:type="dxa"/>
            <w:tcBorders>
              <w:top w:val="nil"/>
              <w:left w:val="nil"/>
              <w:bottom w:val="single" w:sz="12" w:space="0" w:color="3C668C"/>
              <w:right w:val="single" w:sz="8" w:space="0" w:color="3C668C"/>
            </w:tcBorders>
            <w:noWrap/>
            <w:vAlign w:val="center"/>
            <w:hideMark/>
          </w:tcPr>
          <w:p w14:paraId="38893CA4" w14:textId="77777777" w:rsidR="00000000" w:rsidRDefault="00D7422D">
            <w:pPr>
              <w:spacing w:line="240" w:lineRule="auto"/>
              <w:jc w:val="center"/>
            </w:pPr>
            <w:r>
              <w:t>8,2</w:t>
            </w:r>
          </w:p>
        </w:tc>
        <w:tc>
          <w:tcPr>
            <w:tcW w:w="1510" w:type="dxa"/>
            <w:tcBorders>
              <w:top w:val="nil"/>
              <w:left w:val="nil"/>
              <w:bottom w:val="single" w:sz="12" w:space="0" w:color="3C668C"/>
              <w:right w:val="single" w:sz="12" w:space="0" w:color="3C668C"/>
            </w:tcBorders>
            <w:noWrap/>
            <w:vAlign w:val="center"/>
            <w:hideMark/>
          </w:tcPr>
          <w:p w14:paraId="03E829B0" w14:textId="77777777" w:rsidR="00000000" w:rsidRDefault="00D7422D">
            <w:pPr>
              <w:spacing w:line="240" w:lineRule="auto"/>
              <w:jc w:val="center"/>
            </w:pPr>
            <w:r>
              <w:t>-0,1</w:t>
            </w:r>
          </w:p>
        </w:tc>
      </w:tr>
    </w:tbl>
    <w:p w14:paraId="519FC3D8" w14:textId="77777777" w:rsidR="00000000" w:rsidRDefault="00D7422D"/>
    <w:p w14:paraId="7929282E" w14:textId="77777777" w:rsidR="00000000" w:rsidRDefault="00D7422D"/>
    <w:bookmarkEnd w:id="0"/>
    <w:p w14:paraId="3AF7706F" w14:textId="77777777" w:rsidR="00000000" w:rsidRDefault="00D7422D"/>
    <w:p w14:paraId="41A138C0" w14:textId="77777777" w:rsidR="00000000" w:rsidRDefault="00D7422D">
      <w:pPr>
        <w:jc w:val="center"/>
      </w:pPr>
      <w:r>
        <w:rPr>
          <w:noProof/>
        </w:rPr>
        <w:drawing>
          <wp:inline distT="0" distB="0" distL="0" distR="0" wp14:anchorId="558372BF" wp14:editId="2ED5F2BD">
            <wp:extent cx="5715000" cy="23812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715000" cy="2381250"/>
                    </a:xfrm>
                    <a:prstGeom prst="rect">
                      <a:avLst/>
                    </a:prstGeom>
                    <a:noFill/>
                    <a:ln>
                      <a:noFill/>
                    </a:ln>
                  </pic:spPr>
                </pic:pic>
              </a:graphicData>
            </a:graphic>
          </wp:inline>
        </w:drawing>
      </w:r>
    </w:p>
    <w:p w14:paraId="610B0334" w14:textId="77777777" w:rsidR="00000000" w:rsidRDefault="00D7422D"/>
    <w:p w14:paraId="7E86B97A" w14:textId="77777777" w:rsidR="00000000" w:rsidRDefault="00D7422D">
      <w:pPr>
        <w:spacing w:line="240" w:lineRule="auto"/>
        <w:sectPr w:rsidR="00000000">
          <w:pgSz w:w="11907" w:h="16840"/>
          <w:pgMar w:top="2268" w:right="1418" w:bottom="1418" w:left="1418" w:header="709" w:footer="709" w:gutter="0"/>
          <w:cols w:space="708"/>
          <w:docGrid w:linePitch="360"/>
        </w:sectPr>
      </w:pPr>
    </w:p>
    <w:p w14:paraId="11868A7D" w14:textId="77777777" w:rsidR="00000000" w:rsidRDefault="00D7422D">
      <w:pPr>
        <w:pStyle w:val="Kop2"/>
        <w:spacing w:line="240" w:lineRule="atLeast"/>
        <w:ind w:left="737"/>
        <w:jc w:val="left"/>
        <w:rPr>
          <w:rFonts w:eastAsia="Times New Roman"/>
        </w:rPr>
      </w:pPr>
      <w:r>
        <w:rPr>
          <w:rFonts w:eastAsia="Times New Roman"/>
        </w:rPr>
        <w:lastRenderedPageBreak/>
        <w:t>Schoolklimaat (omgang, sfeer en veiligheid)</w:t>
      </w:r>
    </w:p>
    <w:p w14:paraId="717B98FA" w14:textId="77777777" w:rsidR="00000000" w:rsidRDefault="00D7422D">
      <w:r>
        <w:t> </w:t>
      </w:r>
    </w:p>
    <w:p w14:paraId="2DA8982C" w14:textId="77777777" w:rsidR="00000000" w:rsidRDefault="00D7422D">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tblGrid>
      <w:tr w:rsidR="00000000" w14:paraId="7BC89CA7" w14:textId="77777777">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37E29272" w14:textId="77777777" w:rsidR="00000000" w:rsidRDefault="00D7422D"/>
        </w:tc>
        <w:tc>
          <w:tcPr>
            <w:tcW w:w="2000" w:type="dxa"/>
            <w:gridSpan w:val="2"/>
            <w:tcBorders>
              <w:top w:val="single" w:sz="12" w:space="0" w:color="3C668C"/>
              <w:left w:val="nil"/>
              <w:bottom w:val="single" w:sz="12" w:space="0" w:color="3C668C"/>
              <w:right w:val="single" w:sz="12" w:space="0" w:color="3C668C"/>
            </w:tcBorders>
            <w:hideMark/>
          </w:tcPr>
          <w:p w14:paraId="0A18FDAD" w14:textId="77777777" w:rsidR="00000000" w:rsidRDefault="00D7422D">
            <w:pPr>
              <w:jc w:val="center"/>
            </w:pPr>
            <w:r>
              <w:rPr>
                <w:b/>
                <w:bCs/>
              </w:rPr>
              <w:t>najaar 2020 Leerlingen</w:t>
            </w:r>
          </w:p>
        </w:tc>
      </w:tr>
      <w:tr w:rsidR="00000000" w14:paraId="2845DDA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A2EA575" w14:textId="77777777" w:rsidR="00000000" w:rsidRDefault="00D7422D">
            <w:pPr>
              <w:spacing w:line="240" w:lineRule="auto"/>
              <w:ind w:left="91"/>
            </w:pPr>
            <w:r>
              <w:t>Leerlingen gaan graag naar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4A8E5DD5" w14:textId="77777777" w:rsidR="00000000" w:rsidRDefault="00D7422D">
            <w:pPr>
              <w:jc w:val="center"/>
            </w:pPr>
            <w:r>
              <w:t>2,</w:t>
            </w:r>
            <w:r>
              <w:t>9</w:t>
            </w:r>
          </w:p>
        </w:tc>
        <w:tc>
          <w:tcPr>
            <w:tcW w:w="744" w:type="dxa"/>
            <w:tcBorders>
              <w:top w:val="single" w:sz="2" w:space="0" w:color="3C668C"/>
              <w:left w:val="nil"/>
              <w:bottom w:val="single" w:sz="2" w:space="0" w:color="3C668C"/>
              <w:right w:val="single" w:sz="12" w:space="0" w:color="3C668C"/>
            </w:tcBorders>
            <w:noWrap/>
            <w:vAlign w:val="center"/>
            <w:hideMark/>
          </w:tcPr>
          <w:p w14:paraId="52B29689" w14:textId="77777777" w:rsidR="00000000" w:rsidRDefault="00D7422D">
            <w:pPr>
              <w:jc w:val="center"/>
            </w:pPr>
            <w:r>
              <w:rPr>
                <w:color w:val="FF0000"/>
              </w:rPr>
              <w:t>(-0,3)</w:t>
            </w:r>
          </w:p>
        </w:tc>
      </w:tr>
      <w:tr w:rsidR="00000000" w14:paraId="5381C17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B5578B5" w14:textId="77777777" w:rsidR="00000000" w:rsidRDefault="00D7422D">
            <w:pPr>
              <w:spacing w:line="240" w:lineRule="auto"/>
              <w:ind w:left="91"/>
            </w:pPr>
            <w:r>
              <w:t xml:space="preserve">Leerlingen </w:t>
            </w:r>
            <w:r>
              <w:t>voelen zich veilig op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39048934" w14:textId="77777777" w:rsidR="00000000" w:rsidRDefault="00D7422D">
            <w:pPr>
              <w:jc w:val="center"/>
            </w:pPr>
            <w:r>
              <w:t>3,5</w:t>
            </w:r>
          </w:p>
        </w:tc>
        <w:tc>
          <w:tcPr>
            <w:tcW w:w="744" w:type="dxa"/>
            <w:tcBorders>
              <w:top w:val="single" w:sz="2" w:space="0" w:color="3C668C"/>
              <w:left w:val="nil"/>
              <w:bottom w:val="single" w:sz="2" w:space="0" w:color="3C668C"/>
              <w:right w:val="single" w:sz="12" w:space="0" w:color="3C668C"/>
            </w:tcBorders>
            <w:noWrap/>
            <w:vAlign w:val="center"/>
            <w:hideMark/>
          </w:tcPr>
          <w:p w14:paraId="7E10545F" w14:textId="77777777" w:rsidR="00000000" w:rsidRDefault="00D7422D">
            <w:pPr>
              <w:jc w:val="center"/>
            </w:pPr>
            <w:r>
              <w:t>(0,0)</w:t>
            </w:r>
          </w:p>
        </w:tc>
      </w:tr>
      <w:tr w:rsidR="00000000" w14:paraId="61C0FEF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3E7BCEF" w14:textId="77777777" w:rsidR="00000000" w:rsidRDefault="00D7422D">
            <w:pPr>
              <w:spacing w:line="240" w:lineRule="auto"/>
              <w:ind w:left="91"/>
            </w:pPr>
            <w:r>
              <w:t>De school heeft duidelijke regels.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5C47FA55" w14:textId="77777777" w:rsidR="00000000" w:rsidRDefault="00D7422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14:paraId="505B8318" w14:textId="77777777" w:rsidR="00000000" w:rsidRDefault="00D7422D">
            <w:pPr>
              <w:jc w:val="center"/>
            </w:pPr>
            <w:r>
              <w:t>(-0,1)</w:t>
            </w:r>
          </w:p>
        </w:tc>
      </w:tr>
      <w:tr w:rsidR="00000000" w14:paraId="548F066A"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40336DB" w14:textId="77777777" w:rsidR="00000000" w:rsidRDefault="00D7422D">
            <w:pPr>
              <w:spacing w:line="240" w:lineRule="auto"/>
              <w:ind w:left="91"/>
            </w:pPr>
            <w:r>
              <w:t>Leerlingen hebben het naar hun zin in de groep.</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4A5C4E91" w14:textId="77777777" w:rsidR="00000000" w:rsidRDefault="00D7422D">
            <w:pPr>
              <w:jc w:val="center"/>
            </w:pPr>
            <w:r>
              <w:t>3,3</w:t>
            </w:r>
          </w:p>
        </w:tc>
        <w:tc>
          <w:tcPr>
            <w:tcW w:w="744" w:type="dxa"/>
            <w:tcBorders>
              <w:top w:val="single" w:sz="2" w:space="0" w:color="3C668C"/>
              <w:left w:val="nil"/>
              <w:bottom w:val="single" w:sz="2" w:space="0" w:color="3C668C"/>
              <w:right w:val="single" w:sz="12" w:space="0" w:color="3C668C"/>
            </w:tcBorders>
            <w:noWrap/>
            <w:vAlign w:val="center"/>
            <w:hideMark/>
          </w:tcPr>
          <w:p w14:paraId="523EF6CD" w14:textId="77777777" w:rsidR="00000000" w:rsidRDefault="00D7422D">
            <w:pPr>
              <w:jc w:val="center"/>
            </w:pPr>
            <w:r>
              <w:t>(-0,2)</w:t>
            </w:r>
          </w:p>
        </w:tc>
      </w:tr>
      <w:tr w:rsidR="00000000" w14:paraId="010EDDDE"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DF5F896" w14:textId="77777777" w:rsidR="00000000" w:rsidRDefault="00D7422D">
            <w:pPr>
              <w:spacing w:line="240" w:lineRule="auto"/>
              <w:ind w:left="91"/>
            </w:pPr>
            <w:r>
              <w:t>Leerlingen zijn tevreden over de omgang met hun medeleerlingen.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304E516F" w14:textId="77777777" w:rsidR="00000000" w:rsidRDefault="00D7422D">
            <w:pPr>
              <w:jc w:val="center"/>
            </w:pPr>
            <w:r>
              <w:t>3,2</w:t>
            </w:r>
          </w:p>
        </w:tc>
        <w:tc>
          <w:tcPr>
            <w:tcW w:w="744" w:type="dxa"/>
            <w:tcBorders>
              <w:top w:val="single" w:sz="2" w:space="0" w:color="3C668C"/>
              <w:left w:val="nil"/>
              <w:bottom w:val="single" w:sz="2" w:space="0" w:color="3C668C"/>
              <w:right w:val="single" w:sz="12" w:space="0" w:color="3C668C"/>
            </w:tcBorders>
            <w:noWrap/>
            <w:vAlign w:val="center"/>
            <w:hideMark/>
          </w:tcPr>
          <w:p w14:paraId="4796D8FB" w14:textId="77777777" w:rsidR="00000000" w:rsidRDefault="00D7422D">
            <w:pPr>
              <w:jc w:val="center"/>
            </w:pPr>
            <w:r>
              <w:t>(-0,2)</w:t>
            </w:r>
          </w:p>
        </w:tc>
      </w:tr>
      <w:tr w:rsidR="00000000" w14:paraId="5CE2E3C9"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2624878" w14:textId="77777777" w:rsidR="00000000" w:rsidRDefault="00D7422D">
            <w:pPr>
              <w:spacing w:line="240" w:lineRule="auto"/>
              <w:ind w:left="91"/>
            </w:pPr>
            <w:r>
              <w:t xml:space="preserve">De </w:t>
            </w:r>
            <w:r>
              <w:t>speelmogelijkheden op de speelplaats zijn goed.</w:t>
            </w:r>
          </w:p>
        </w:tc>
        <w:tc>
          <w:tcPr>
            <w:tcW w:w="744" w:type="dxa"/>
            <w:gridSpan w:val="2"/>
            <w:tcBorders>
              <w:top w:val="single" w:sz="2" w:space="0" w:color="3C668C"/>
              <w:left w:val="nil"/>
              <w:bottom w:val="single" w:sz="2" w:space="0" w:color="3C668C"/>
              <w:right w:val="single" w:sz="12" w:space="0" w:color="3C668C"/>
            </w:tcBorders>
            <w:tcMar>
              <w:top w:w="0" w:type="dxa"/>
              <w:left w:w="108" w:type="dxa"/>
              <w:bottom w:w="0" w:type="dxa"/>
              <w:right w:w="108" w:type="dxa"/>
            </w:tcMar>
            <w:vAlign w:val="center"/>
            <w:hideMark/>
          </w:tcPr>
          <w:p w14:paraId="7F82ED9F" w14:textId="77777777" w:rsidR="00000000" w:rsidRDefault="00D7422D">
            <w:pPr>
              <w:jc w:val="center"/>
            </w:pPr>
            <w:r>
              <w:t>3,2</w:t>
            </w:r>
          </w:p>
        </w:tc>
      </w:tr>
      <w:tr w:rsidR="00000000" w14:paraId="278E9A02" w14:textId="77777777">
        <w:tc>
          <w:tcPr>
            <w:tcW w:w="0" w:type="auto"/>
            <w:gridSpan w:val="3"/>
            <w:tcBorders>
              <w:top w:val="single" w:sz="12" w:space="0" w:color="3C668C"/>
              <w:left w:val="nil"/>
              <w:bottom w:val="nil"/>
              <w:right w:val="nil"/>
            </w:tcBorders>
            <w:vAlign w:val="center"/>
            <w:hideMark/>
          </w:tcPr>
          <w:p w14:paraId="0749715C" w14:textId="77777777" w:rsidR="00000000" w:rsidRDefault="00D7422D"/>
        </w:tc>
      </w:tr>
    </w:tbl>
    <w:p w14:paraId="24B7126C" w14:textId="77777777" w:rsidR="00000000" w:rsidRDefault="00D7422D">
      <w:pPr>
        <w:tabs>
          <w:tab w:val="left" w:pos="708"/>
        </w:tabs>
        <w:spacing w:line="240" w:lineRule="auto"/>
      </w:pPr>
    </w:p>
    <w:p w14:paraId="1E4A8EF4" w14:textId="77777777" w:rsidR="00000000" w:rsidRDefault="00D7422D">
      <w:pPr>
        <w:pStyle w:val="Kop3"/>
        <w:rPr>
          <w:rFonts w:eastAsia="Times New Roman"/>
        </w:rPr>
      </w:pPr>
      <w:r>
        <w:rPr>
          <w:rFonts w:eastAsia="Times New Roman"/>
        </w:rPr>
        <w:t>Sociale veiligheid (Innovo)</w:t>
      </w:r>
    </w:p>
    <w:p w14:paraId="2D5AF8B0" w14:textId="77777777" w:rsidR="00000000" w:rsidRDefault="00D7422D">
      <w:r>
        <w:t> </w:t>
      </w:r>
    </w:p>
    <w:tbl>
      <w:tblPr>
        <w:tblW w:w="0" w:type="auto"/>
        <w:tblInd w:w="737" w:type="dxa"/>
        <w:tblCellMar>
          <w:left w:w="0" w:type="dxa"/>
          <w:right w:w="0" w:type="dxa"/>
        </w:tblCellMar>
        <w:tblLook w:val="04A0" w:firstRow="1" w:lastRow="0" w:firstColumn="1" w:lastColumn="0" w:noHBand="0" w:noVBand="1"/>
      </w:tblPr>
      <w:tblGrid>
        <w:gridCol w:w="7309"/>
        <w:gridCol w:w="2000"/>
      </w:tblGrid>
      <w:tr w:rsidR="00000000" w14:paraId="23B4C0EB" w14:textId="77777777">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16034DCF" w14:textId="77777777" w:rsidR="00000000" w:rsidRDefault="00D7422D"/>
        </w:tc>
        <w:tc>
          <w:tcPr>
            <w:tcW w:w="2000" w:type="dxa"/>
            <w:tcBorders>
              <w:top w:val="single" w:sz="12" w:space="0" w:color="3C668C"/>
              <w:left w:val="nil"/>
              <w:bottom w:val="single" w:sz="12" w:space="0" w:color="3C668C"/>
              <w:right w:val="single" w:sz="12" w:space="0" w:color="3C668C"/>
            </w:tcBorders>
            <w:hideMark/>
          </w:tcPr>
          <w:p w14:paraId="17CCB7D2" w14:textId="77777777" w:rsidR="00000000" w:rsidRDefault="00D7422D">
            <w:pPr>
              <w:jc w:val="center"/>
            </w:pPr>
            <w:r>
              <w:rPr>
                <w:b/>
                <w:bCs/>
              </w:rPr>
              <w:t>najaar 2020 Leerlingen</w:t>
            </w:r>
          </w:p>
        </w:tc>
      </w:tr>
      <w:tr w:rsidR="00000000" w14:paraId="4D92F431"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6859B1BD" w14:textId="77777777" w:rsidR="00000000" w:rsidRDefault="00D7422D">
            <w:pPr>
              <w:spacing w:line="240" w:lineRule="auto"/>
              <w:ind w:left="91"/>
            </w:pPr>
            <w:r>
              <w:t>Ik word wel eens gepest (1=nee, 2=ja)</w:t>
            </w:r>
          </w:p>
        </w:tc>
        <w:tc>
          <w:tcPr>
            <w:tcW w:w="744" w:type="dxa"/>
            <w:tcBorders>
              <w:top w:val="single" w:sz="2" w:space="0" w:color="3C668C"/>
              <w:left w:val="nil"/>
              <w:bottom w:val="single" w:sz="2" w:space="0" w:color="3C668C"/>
              <w:right w:val="single" w:sz="12" w:space="0" w:color="3C668C"/>
            </w:tcBorders>
            <w:tcMar>
              <w:top w:w="0" w:type="dxa"/>
              <w:left w:w="108" w:type="dxa"/>
              <w:bottom w:w="0" w:type="dxa"/>
              <w:right w:w="108" w:type="dxa"/>
            </w:tcMar>
            <w:vAlign w:val="center"/>
            <w:hideMark/>
          </w:tcPr>
          <w:p w14:paraId="54048C9B" w14:textId="77777777" w:rsidR="00000000" w:rsidRDefault="00D7422D">
            <w:pPr>
              <w:jc w:val="center"/>
            </w:pPr>
            <w:r>
              <w:t>ja (28x)</w:t>
            </w:r>
            <w:r>
              <w:br/>
              <w:t>nee (84x)</w:t>
            </w:r>
          </w:p>
        </w:tc>
      </w:tr>
      <w:tr w:rsidR="00000000" w14:paraId="0F14874C"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19AEEC7F" w14:textId="77777777" w:rsidR="00000000" w:rsidRDefault="00D7422D">
            <w:pPr>
              <w:spacing w:line="240" w:lineRule="auto"/>
              <w:ind w:left="91"/>
            </w:pPr>
            <w:r>
              <w:t>De school gaat goed om met pestgedrag.</w:t>
            </w:r>
          </w:p>
        </w:tc>
        <w:tc>
          <w:tcPr>
            <w:tcW w:w="744" w:type="dxa"/>
            <w:tcBorders>
              <w:top w:val="single" w:sz="2" w:space="0" w:color="3C668C"/>
              <w:left w:val="nil"/>
              <w:bottom w:val="single" w:sz="2" w:space="0" w:color="3C668C"/>
              <w:right w:val="single" w:sz="12" w:space="0" w:color="3C668C"/>
            </w:tcBorders>
            <w:tcMar>
              <w:top w:w="0" w:type="dxa"/>
              <w:left w:w="108" w:type="dxa"/>
              <w:bottom w:w="0" w:type="dxa"/>
              <w:right w:w="108" w:type="dxa"/>
            </w:tcMar>
            <w:vAlign w:val="center"/>
            <w:hideMark/>
          </w:tcPr>
          <w:p w14:paraId="66B37ECE" w14:textId="77777777" w:rsidR="00000000" w:rsidRDefault="00D7422D">
            <w:pPr>
              <w:jc w:val="center"/>
            </w:pPr>
            <w:r>
              <w:t>3,2</w:t>
            </w:r>
          </w:p>
        </w:tc>
      </w:tr>
      <w:tr w:rsidR="00000000" w14:paraId="3C264D22" w14:textId="77777777">
        <w:tc>
          <w:tcPr>
            <w:tcW w:w="0" w:type="auto"/>
            <w:gridSpan w:val="2"/>
            <w:tcBorders>
              <w:top w:val="single" w:sz="12" w:space="0" w:color="3C668C"/>
              <w:left w:val="nil"/>
              <w:bottom w:val="nil"/>
              <w:right w:val="nil"/>
            </w:tcBorders>
            <w:vAlign w:val="center"/>
            <w:hideMark/>
          </w:tcPr>
          <w:p w14:paraId="219715A6" w14:textId="77777777" w:rsidR="00000000" w:rsidRDefault="00D7422D"/>
        </w:tc>
      </w:tr>
    </w:tbl>
    <w:p w14:paraId="2469E44D" w14:textId="77777777" w:rsidR="00000000" w:rsidRDefault="00D7422D">
      <w:pPr>
        <w:tabs>
          <w:tab w:val="left" w:pos="708"/>
        </w:tabs>
        <w:spacing w:line="240" w:lineRule="auto"/>
      </w:pPr>
    </w:p>
    <w:p w14:paraId="0D681460" w14:textId="77777777" w:rsidR="00000000" w:rsidRDefault="00D7422D">
      <w:r>
        <w:br w:type="page"/>
      </w:r>
    </w:p>
    <w:p w14:paraId="6CE25567" w14:textId="77777777" w:rsidR="00000000" w:rsidRDefault="00D7422D">
      <w:pPr>
        <w:pStyle w:val="Kop2"/>
        <w:spacing w:line="240" w:lineRule="atLeast"/>
        <w:ind w:left="737"/>
        <w:jc w:val="left"/>
        <w:rPr>
          <w:rFonts w:eastAsia="Times New Roman"/>
        </w:rPr>
      </w:pPr>
      <w:r>
        <w:rPr>
          <w:rFonts w:eastAsia="Times New Roman"/>
        </w:rPr>
        <w:lastRenderedPageBreak/>
        <w:t>Onderwijsleerproces</w:t>
      </w:r>
    </w:p>
    <w:p w14:paraId="41F348E7" w14:textId="77777777" w:rsidR="00000000" w:rsidRDefault="00D7422D">
      <w:r>
        <w:t> </w:t>
      </w:r>
    </w:p>
    <w:p w14:paraId="2D40A2C1" w14:textId="77777777" w:rsidR="00000000" w:rsidRDefault="00D7422D">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tblGrid>
      <w:tr w:rsidR="00000000" w14:paraId="7E12727F" w14:textId="77777777">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23B0A1FA" w14:textId="77777777" w:rsidR="00000000" w:rsidRDefault="00D7422D"/>
        </w:tc>
        <w:tc>
          <w:tcPr>
            <w:tcW w:w="2000" w:type="dxa"/>
            <w:gridSpan w:val="2"/>
            <w:tcBorders>
              <w:top w:val="single" w:sz="12" w:space="0" w:color="3C668C"/>
              <w:left w:val="nil"/>
              <w:bottom w:val="single" w:sz="12" w:space="0" w:color="3C668C"/>
              <w:right w:val="single" w:sz="12" w:space="0" w:color="3C668C"/>
            </w:tcBorders>
            <w:hideMark/>
          </w:tcPr>
          <w:p w14:paraId="4A42C1D2" w14:textId="77777777" w:rsidR="00000000" w:rsidRDefault="00D7422D">
            <w:pPr>
              <w:jc w:val="center"/>
            </w:pPr>
            <w:r>
              <w:rPr>
                <w:b/>
                <w:bCs/>
              </w:rPr>
              <w:t>najaar 2020 Leerlingen</w:t>
            </w:r>
          </w:p>
        </w:tc>
      </w:tr>
      <w:tr w:rsidR="00000000" w14:paraId="1D439523"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4BF70D8" w14:textId="77777777" w:rsidR="00000000" w:rsidRDefault="00D7422D">
            <w:pPr>
              <w:spacing w:line="240" w:lineRule="auto"/>
              <w:ind w:left="91"/>
            </w:pPr>
            <w:r>
              <w:t>Leerlingen leren voldoende op deze school.</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5F58C7F0" w14:textId="77777777" w:rsidR="00000000" w:rsidRDefault="00D7422D">
            <w:pPr>
              <w:jc w:val="center"/>
            </w:pPr>
            <w:r>
              <w:t>3,6</w:t>
            </w:r>
          </w:p>
        </w:tc>
        <w:tc>
          <w:tcPr>
            <w:tcW w:w="744" w:type="dxa"/>
            <w:tcBorders>
              <w:top w:val="single" w:sz="2" w:space="0" w:color="3C668C"/>
              <w:left w:val="nil"/>
              <w:bottom w:val="single" w:sz="2" w:space="0" w:color="3C668C"/>
              <w:right w:val="single" w:sz="12" w:space="0" w:color="3C668C"/>
            </w:tcBorders>
            <w:noWrap/>
            <w:vAlign w:val="center"/>
            <w:hideMark/>
          </w:tcPr>
          <w:p w14:paraId="6BFB283D" w14:textId="77777777" w:rsidR="00000000" w:rsidRDefault="00D7422D">
            <w:pPr>
              <w:jc w:val="center"/>
            </w:pPr>
            <w:r>
              <w:t>(0,0)</w:t>
            </w:r>
          </w:p>
        </w:tc>
      </w:tr>
      <w:tr w:rsidR="00000000" w14:paraId="2D94F570"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4BD259F" w14:textId="77777777" w:rsidR="00000000" w:rsidRDefault="00D7422D">
            <w:pPr>
              <w:spacing w:line="240" w:lineRule="auto"/>
              <w:ind w:left="91"/>
            </w:pPr>
            <w:r>
              <w:t>Leerkrachten leggen goed uit.</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275930A9" w14:textId="77777777" w:rsidR="00000000" w:rsidRDefault="00D7422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14:paraId="23AC8C74" w14:textId="77777777" w:rsidR="00000000" w:rsidRDefault="00D7422D">
            <w:pPr>
              <w:jc w:val="center"/>
            </w:pPr>
            <w:r>
              <w:t>(0,1)</w:t>
            </w:r>
          </w:p>
        </w:tc>
      </w:tr>
      <w:tr w:rsidR="00000000" w14:paraId="68EF0A82"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698A579" w14:textId="77777777" w:rsidR="00000000" w:rsidRDefault="00D7422D">
            <w:pPr>
              <w:spacing w:line="240" w:lineRule="auto"/>
              <w:ind w:left="91"/>
            </w:pPr>
            <w:r>
              <w:t>Leerkrachten weten wat leerlingen goed kunnen.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6911005A" w14:textId="77777777" w:rsidR="00000000" w:rsidRDefault="00D7422D">
            <w:pPr>
              <w:jc w:val="center"/>
            </w:pPr>
            <w:r>
              <w:t>3,</w:t>
            </w:r>
            <w:r>
              <w:t>3</w:t>
            </w:r>
          </w:p>
        </w:tc>
        <w:tc>
          <w:tcPr>
            <w:tcW w:w="744" w:type="dxa"/>
            <w:tcBorders>
              <w:top w:val="single" w:sz="2" w:space="0" w:color="3C668C"/>
              <w:left w:val="nil"/>
              <w:bottom w:val="single" w:sz="2" w:space="0" w:color="3C668C"/>
              <w:right w:val="single" w:sz="12" w:space="0" w:color="3C668C"/>
            </w:tcBorders>
            <w:noWrap/>
            <w:vAlign w:val="center"/>
            <w:hideMark/>
          </w:tcPr>
          <w:p w14:paraId="4C475E07" w14:textId="77777777" w:rsidR="00000000" w:rsidRDefault="00D7422D">
            <w:pPr>
              <w:jc w:val="center"/>
            </w:pPr>
            <w:r>
              <w:rPr>
                <w:color w:val="FF0000"/>
              </w:rPr>
              <w:t>(-0,3)</w:t>
            </w:r>
          </w:p>
        </w:tc>
      </w:tr>
      <w:tr w:rsidR="00000000" w14:paraId="4103D07B"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35730082" w14:textId="77777777" w:rsidR="00000000" w:rsidRDefault="00D7422D">
            <w:pPr>
              <w:spacing w:line="240" w:lineRule="auto"/>
              <w:ind w:left="91"/>
            </w:pPr>
            <w:r>
              <w:t xml:space="preserve">Leerkrachten </w:t>
            </w:r>
            <w:r>
              <w:t>vertellen leerlingen duidelijk wat ze goed of fout doen.</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17E7488E" w14:textId="77777777" w:rsidR="00000000" w:rsidRDefault="00D7422D">
            <w:pPr>
              <w:jc w:val="center"/>
            </w:pPr>
            <w:r>
              <w:t>3,4</w:t>
            </w:r>
          </w:p>
        </w:tc>
        <w:tc>
          <w:tcPr>
            <w:tcW w:w="744" w:type="dxa"/>
            <w:tcBorders>
              <w:top w:val="single" w:sz="2" w:space="0" w:color="3C668C"/>
              <w:left w:val="nil"/>
              <w:bottom w:val="single" w:sz="2" w:space="0" w:color="3C668C"/>
              <w:right w:val="single" w:sz="12" w:space="0" w:color="3C668C"/>
            </w:tcBorders>
            <w:noWrap/>
            <w:vAlign w:val="center"/>
            <w:hideMark/>
          </w:tcPr>
          <w:p w14:paraId="1ED73473" w14:textId="77777777" w:rsidR="00000000" w:rsidRDefault="00D7422D">
            <w:pPr>
              <w:jc w:val="center"/>
            </w:pPr>
            <w:r>
              <w:t>(0,0)</w:t>
            </w:r>
          </w:p>
        </w:tc>
      </w:tr>
      <w:tr w:rsidR="00000000" w14:paraId="69D3CD1C"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4A61DB12" w14:textId="77777777" w:rsidR="00000000" w:rsidRDefault="00D7422D">
            <w:pPr>
              <w:spacing w:line="240" w:lineRule="auto"/>
              <w:ind w:left="91"/>
            </w:pPr>
            <w:r>
              <w:t>Leerkrachten helpen leerlingen goed als dat nodig is.</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271E19F5" w14:textId="77777777" w:rsidR="00000000" w:rsidRDefault="00D7422D">
            <w:pPr>
              <w:jc w:val="center"/>
            </w:pPr>
            <w:r>
              <w:t>3,7</w:t>
            </w:r>
          </w:p>
        </w:tc>
        <w:tc>
          <w:tcPr>
            <w:tcW w:w="744" w:type="dxa"/>
            <w:tcBorders>
              <w:top w:val="single" w:sz="2" w:space="0" w:color="3C668C"/>
              <w:left w:val="nil"/>
              <w:bottom w:val="single" w:sz="2" w:space="0" w:color="3C668C"/>
              <w:right w:val="single" w:sz="12" w:space="0" w:color="3C668C"/>
            </w:tcBorders>
            <w:noWrap/>
            <w:vAlign w:val="center"/>
            <w:hideMark/>
          </w:tcPr>
          <w:p w14:paraId="48D68C5E" w14:textId="77777777" w:rsidR="00000000" w:rsidRDefault="00D7422D">
            <w:pPr>
              <w:jc w:val="center"/>
            </w:pPr>
            <w:r>
              <w:t>(0,2)</w:t>
            </w:r>
          </w:p>
        </w:tc>
      </w:tr>
      <w:tr w:rsidR="00000000" w14:paraId="0DAD9296"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7D7098A4" w14:textId="77777777" w:rsidR="00000000" w:rsidRDefault="00D7422D">
            <w:pPr>
              <w:spacing w:line="240" w:lineRule="auto"/>
              <w:ind w:left="91"/>
            </w:pPr>
            <w:r>
              <w:t>Leerlingen leren op school goed samen werken.</w:t>
            </w:r>
          </w:p>
        </w:tc>
        <w:tc>
          <w:tcPr>
            <w:tcW w:w="744" w:type="dxa"/>
            <w:gridSpan w:val="2"/>
            <w:tcBorders>
              <w:top w:val="single" w:sz="2" w:space="0" w:color="3C668C"/>
              <w:left w:val="nil"/>
              <w:bottom w:val="single" w:sz="2" w:space="0" w:color="3C668C"/>
              <w:right w:val="single" w:sz="12" w:space="0" w:color="3C668C"/>
            </w:tcBorders>
            <w:tcMar>
              <w:top w:w="0" w:type="dxa"/>
              <w:left w:w="108" w:type="dxa"/>
              <w:bottom w:w="0" w:type="dxa"/>
              <w:right w:w="108" w:type="dxa"/>
            </w:tcMar>
            <w:vAlign w:val="center"/>
            <w:hideMark/>
          </w:tcPr>
          <w:p w14:paraId="639CB3E0" w14:textId="77777777" w:rsidR="00000000" w:rsidRDefault="00D7422D">
            <w:pPr>
              <w:jc w:val="center"/>
            </w:pPr>
            <w:r>
              <w:t>3,4</w:t>
            </w:r>
          </w:p>
        </w:tc>
      </w:tr>
      <w:tr w:rsidR="00000000" w14:paraId="63E7C645"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56DD41C8" w14:textId="77777777" w:rsidR="00000000" w:rsidRDefault="00D7422D">
            <w:pPr>
              <w:spacing w:line="240" w:lineRule="auto"/>
              <w:ind w:left="91"/>
            </w:pPr>
            <w:r>
              <w:t>Leerlingen leren op school goed zelfstandig te werken.</w:t>
            </w:r>
          </w:p>
        </w:tc>
        <w:tc>
          <w:tcPr>
            <w:tcW w:w="744" w:type="dxa"/>
            <w:gridSpan w:val="2"/>
            <w:tcBorders>
              <w:top w:val="single" w:sz="2" w:space="0" w:color="3C668C"/>
              <w:left w:val="nil"/>
              <w:bottom w:val="single" w:sz="2" w:space="0" w:color="3C668C"/>
              <w:right w:val="single" w:sz="12" w:space="0" w:color="3C668C"/>
            </w:tcBorders>
            <w:tcMar>
              <w:top w:w="0" w:type="dxa"/>
              <w:left w:w="108" w:type="dxa"/>
              <w:bottom w:w="0" w:type="dxa"/>
              <w:right w:w="108" w:type="dxa"/>
            </w:tcMar>
            <w:vAlign w:val="center"/>
            <w:hideMark/>
          </w:tcPr>
          <w:p w14:paraId="013185D4" w14:textId="77777777" w:rsidR="00000000" w:rsidRDefault="00D7422D">
            <w:pPr>
              <w:jc w:val="center"/>
            </w:pPr>
            <w:r>
              <w:t>3,5</w:t>
            </w:r>
          </w:p>
        </w:tc>
      </w:tr>
      <w:tr w:rsidR="00000000" w14:paraId="2BC208F8" w14:textId="77777777">
        <w:tc>
          <w:tcPr>
            <w:tcW w:w="0" w:type="auto"/>
            <w:gridSpan w:val="3"/>
            <w:tcBorders>
              <w:top w:val="single" w:sz="12" w:space="0" w:color="3C668C"/>
              <w:left w:val="nil"/>
              <w:bottom w:val="nil"/>
              <w:right w:val="nil"/>
            </w:tcBorders>
            <w:vAlign w:val="center"/>
            <w:hideMark/>
          </w:tcPr>
          <w:p w14:paraId="4DAE1E02" w14:textId="77777777" w:rsidR="00000000" w:rsidRDefault="00D7422D"/>
        </w:tc>
      </w:tr>
    </w:tbl>
    <w:p w14:paraId="4DDEEE8E" w14:textId="77777777" w:rsidR="00000000" w:rsidRDefault="00D7422D">
      <w:pPr>
        <w:tabs>
          <w:tab w:val="left" w:pos="708"/>
        </w:tabs>
        <w:spacing w:line="240" w:lineRule="auto"/>
      </w:pPr>
    </w:p>
    <w:p w14:paraId="7C729CF7" w14:textId="77777777" w:rsidR="00000000" w:rsidRDefault="00D7422D">
      <w:r>
        <w:br w:type="page"/>
      </w:r>
    </w:p>
    <w:p w14:paraId="53FCB8B3" w14:textId="77777777" w:rsidR="00000000" w:rsidRDefault="00D7422D">
      <w:pPr>
        <w:pStyle w:val="Kop2"/>
        <w:spacing w:line="240" w:lineRule="atLeast"/>
        <w:ind w:left="737"/>
        <w:jc w:val="left"/>
        <w:rPr>
          <w:rFonts w:eastAsia="Times New Roman"/>
        </w:rPr>
      </w:pPr>
      <w:r>
        <w:rPr>
          <w:rFonts w:eastAsia="Times New Roman"/>
        </w:rPr>
        <w:lastRenderedPageBreak/>
        <w:t>Informatie en communicatie</w:t>
      </w:r>
    </w:p>
    <w:p w14:paraId="2146865E" w14:textId="77777777" w:rsidR="00000000" w:rsidRDefault="00D7422D">
      <w:r>
        <w:t> </w:t>
      </w:r>
    </w:p>
    <w:p w14:paraId="299D87BC" w14:textId="77777777" w:rsidR="00000000" w:rsidRDefault="00D7422D">
      <w:r>
        <w:t> </w:t>
      </w:r>
    </w:p>
    <w:tbl>
      <w:tblPr>
        <w:tblW w:w="0" w:type="auto"/>
        <w:tblInd w:w="737" w:type="dxa"/>
        <w:tblCellMar>
          <w:left w:w="0" w:type="dxa"/>
          <w:right w:w="0" w:type="dxa"/>
        </w:tblCellMar>
        <w:tblLook w:val="04A0" w:firstRow="1" w:lastRow="0" w:firstColumn="1" w:lastColumn="0" w:noHBand="0" w:noVBand="1"/>
      </w:tblPr>
      <w:tblGrid>
        <w:gridCol w:w="7309"/>
        <w:gridCol w:w="2000"/>
      </w:tblGrid>
      <w:tr w:rsidR="00000000" w14:paraId="09ACED53" w14:textId="77777777">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1B6D0AFF" w14:textId="77777777" w:rsidR="00000000" w:rsidRDefault="00D7422D"/>
        </w:tc>
        <w:tc>
          <w:tcPr>
            <w:tcW w:w="2000" w:type="dxa"/>
            <w:tcBorders>
              <w:top w:val="single" w:sz="12" w:space="0" w:color="3C668C"/>
              <w:left w:val="nil"/>
              <w:bottom w:val="single" w:sz="12" w:space="0" w:color="3C668C"/>
              <w:right w:val="single" w:sz="12" w:space="0" w:color="3C668C"/>
            </w:tcBorders>
            <w:hideMark/>
          </w:tcPr>
          <w:p w14:paraId="414B87FE" w14:textId="77777777" w:rsidR="00000000" w:rsidRDefault="00D7422D">
            <w:pPr>
              <w:jc w:val="center"/>
            </w:pPr>
            <w:r>
              <w:rPr>
                <w:b/>
                <w:bCs/>
              </w:rPr>
              <w:t>najaar 2020 Leerlingen</w:t>
            </w:r>
          </w:p>
        </w:tc>
      </w:tr>
      <w:tr w:rsidR="00000000" w14:paraId="449F6504" w14:textId="77777777">
        <w:tc>
          <w:tcPr>
            <w:tcW w:w="0" w:type="auto"/>
            <w:gridSpan w:val="2"/>
            <w:tcBorders>
              <w:top w:val="single" w:sz="12" w:space="0" w:color="3C668C"/>
              <w:left w:val="nil"/>
              <w:bottom w:val="nil"/>
              <w:right w:val="nil"/>
            </w:tcBorders>
            <w:vAlign w:val="center"/>
            <w:hideMark/>
          </w:tcPr>
          <w:p w14:paraId="4A1938A8" w14:textId="77777777" w:rsidR="00000000" w:rsidRDefault="00D7422D"/>
        </w:tc>
      </w:tr>
    </w:tbl>
    <w:p w14:paraId="31F31814" w14:textId="77777777" w:rsidR="00000000" w:rsidRDefault="00D7422D">
      <w:pPr>
        <w:tabs>
          <w:tab w:val="left" w:pos="708"/>
        </w:tabs>
        <w:spacing w:line="240" w:lineRule="auto"/>
      </w:pPr>
    </w:p>
    <w:p w14:paraId="55EF97FF" w14:textId="77777777" w:rsidR="00000000" w:rsidRDefault="00D7422D">
      <w:r>
        <w:br w:type="page"/>
      </w:r>
    </w:p>
    <w:p w14:paraId="63A6FE95" w14:textId="77777777" w:rsidR="00000000" w:rsidRDefault="00D7422D">
      <w:pPr>
        <w:pStyle w:val="Kop2"/>
        <w:spacing w:line="240" w:lineRule="atLeast"/>
        <w:ind w:left="737"/>
        <w:jc w:val="left"/>
        <w:rPr>
          <w:rFonts w:eastAsia="Times New Roman"/>
        </w:rPr>
      </w:pPr>
      <w:r>
        <w:rPr>
          <w:rFonts w:eastAsia="Times New Roman"/>
        </w:rPr>
        <w:lastRenderedPageBreak/>
        <w:t>Algemeen</w:t>
      </w:r>
    </w:p>
    <w:p w14:paraId="18817804" w14:textId="77777777" w:rsidR="00000000" w:rsidRDefault="00D7422D">
      <w:r>
        <w:t> </w:t>
      </w:r>
    </w:p>
    <w:p w14:paraId="39E5FBC8" w14:textId="77777777" w:rsidR="00000000" w:rsidRDefault="00D7422D">
      <w:r>
        <w:t> </w:t>
      </w:r>
    </w:p>
    <w:tbl>
      <w:tblPr>
        <w:tblW w:w="0" w:type="auto"/>
        <w:tblInd w:w="737" w:type="dxa"/>
        <w:tblCellMar>
          <w:left w:w="0" w:type="dxa"/>
          <w:right w:w="0" w:type="dxa"/>
        </w:tblCellMar>
        <w:tblLook w:val="04A0" w:firstRow="1" w:lastRow="0" w:firstColumn="1" w:lastColumn="0" w:noHBand="0" w:noVBand="1"/>
      </w:tblPr>
      <w:tblGrid>
        <w:gridCol w:w="7309"/>
        <w:gridCol w:w="744"/>
        <w:gridCol w:w="1256"/>
      </w:tblGrid>
      <w:tr w:rsidR="00000000" w14:paraId="589A3217" w14:textId="77777777">
        <w:trPr>
          <w:trHeight w:val="329"/>
        </w:trPr>
        <w:tc>
          <w:tcPr>
            <w:tcW w:w="7309" w:type="dxa"/>
            <w:tcBorders>
              <w:top w:val="single" w:sz="12" w:space="0" w:color="3C668C"/>
              <w:left w:val="single" w:sz="12" w:space="0" w:color="3C668C"/>
              <w:bottom w:val="single" w:sz="12" w:space="0" w:color="3C668C"/>
              <w:right w:val="single" w:sz="8" w:space="0" w:color="3C668C"/>
            </w:tcBorders>
            <w:tcMar>
              <w:top w:w="0" w:type="dxa"/>
              <w:left w:w="108" w:type="dxa"/>
              <w:bottom w:w="0" w:type="dxa"/>
              <w:right w:w="108" w:type="dxa"/>
            </w:tcMar>
            <w:vAlign w:val="center"/>
            <w:hideMark/>
          </w:tcPr>
          <w:p w14:paraId="46F908B0" w14:textId="77777777" w:rsidR="00000000" w:rsidRDefault="00D7422D"/>
        </w:tc>
        <w:tc>
          <w:tcPr>
            <w:tcW w:w="2000" w:type="dxa"/>
            <w:gridSpan w:val="2"/>
            <w:tcBorders>
              <w:top w:val="single" w:sz="12" w:space="0" w:color="3C668C"/>
              <w:left w:val="nil"/>
              <w:bottom w:val="single" w:sz="12" w:space="0" w:color="3C668C"/>
              <w:right w:val="single" w:sz="12" w:space="0" w:color="3C668C"/>
            </w:tcBorders>
            <w:hideMark/>
          </w:tcPr>
          <w:p w14:paraId="5ACF2A64" w14:textId="77777777" w:rsidR="00000000" w:rsidRDefault="00D7422D">
            <w:pPr>
              <w:jc w:val="center"/>
            </w:pPr>
            <w:r>
              <w:rPr>
                <w:b/>
                <w:bCs/>
              </w:rPr>
              <w:t>najaar 2020 Leerlingen</w:t>
            </w:r>
          </w:p>
        </w:tc>
      </w:tr>
      <w:tr w:rsidR="00000000" w14:paraId="58A6B299"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2E808E8C" w14:textId="77777777" w:rsidR="00000000" w:rsidRDefault="00D7422D">
            <w:pPr>
              <w:spacing w:line="240" w:lineRule="auto"/>
              <w:ind w:left="91"/>
            </w:pPr>
            <w:r>
              <w:t>Het is schoon en opgeruimd in de school.</w:t>
            </w:r>
          </w:p>
        </w:tc>
        <w:tc>
          <w:tcPr>
            <w:tcW w:w="744" w:type="dxa"/>
            <w:gridSpan w:val="2"/>
            <w:tcBorders>
              <w:top w:val="single" w:sz="2" w:space="0" w:color="3C668C"/>
              <w:left w:val="nil"/>
              <w:bottom w:val="single" w:sz="2" w:space="0" w:color="3C668C"/>
              <w:right w:val="single" w:sz="12" w:space="0" w:color="3C668C"/>
            </w:tcBorders>
            <w:tcMar>
              <w:top w:w="0" w:type="dxa"/>
              <w:left w:w="108" w:type="dxa"/>
              <w:bottom w:w="0" w:type="dxa"/>
              <w:right w:w="108" w:type="dxa"/>
            </w:tcMar>
            <w:vAlign w:val="center"/>
            <w:hideMark/>
          </w:tcPr>
          <w:p w14:paraId="14E963CF" w14:textId="77777777" w:rsidR="00000000" w:rsidRDefault="00D7422D">
            <w:pPr>
              <w:jc w:val="center"/>
            </w:pPr>
            <w:r>
              <w:t>3,2</w:t>
            </w:r>
          </w:p>
        </w:tc>
      </w:tr>
      <w:tr w:rsidR="00000000" w14:paraId="17B92554" w14:textId="77777777">
        <w:trPr>
          <w:trHeight w:val="329"/>
        </w:trPr>
        <w:tc>
          <w:tcPr>
            <w:tcW w:w="744" w:type="dxa"/>
            <w:tcBorders>
              <w:top w:val="single" w:sz="2" w:space="0" w:color="3C668C"/>
              <w:left w:val="single" w:sz="12" w:space="0" w:color="3C668C"/>
              <w:bottom w:val="single" w:sz="2" w:space="0" w:color="3C668C"/>
              <w:right w:val="single" w:sz="2" w:space="0" w:color="3C668C"/>
            </w:tcBorders>
            <w:vAlign w:val="center"/>
            <w:hideMark/>
          </w:tcPr>
          <w:p w14:paraId="0E1E6C7B" w14:textId="77777777" w:rsidR="00000000" w:rsidRDefault="00D7422D">
            <w:pPr>
              <w:spacing w:line="240" w:lineRule="auto"/>
              <w:ind w:left="91"/>
            </w:pPr>
            <w:r>
              <w:t>Rapportcijfer</w:t>
            </w:r>
          </w:p>
        </w:tc>
        <w:tc>
          <w:tcPr>
            <w:tcW w:w="744" w:type="dxa"/>
            <w:tcBorders>
              <w:top w:val="single" w:sz="2" w:space="0" w:color="3C668C"/>
              <w:left w:val="single" w:sz="2" w:space="0" w:color="3C668C"/>
              <w:bottom w:val="single" w:sz="2" w:space="0" w:color="3C668C"/>
              <w:right w:val="nil"/>
            </w:tcBorders>
            <w:tcMar>
              <w:top w:w="0" w:type="dxa"/>
              <w:left w:w="108" w:type="dxa"/>
              <w:bottom w:w="0" w:type="dxa"/>
              <w:right w:w="108" w:type="dxa"/>
            </w:tcMar>
            <w:vAlign w:val="center"/>
            <w:hideMark/>
          </w:tcPr>
          <w:p w14:paraId="40345671" w14:textId="77777777" w:rsidR="00000000" w:rsidRDefault="00D7422D">
            <w:pPr>
              <w:jc w:val="center"/>
            </w:pPr>
            <w:r>
              <w:t>8,1</w:t>
            </w:r>
          </w:p>
        </w:tc>
        <w:tc>
          <w:tcPr>
            <w:tcW w:w="744" w:type="dxa"/>
            <w:tcBorders>
              <w:top w:val="single" w:sz="2" w:space="0" w:color="3C668C"/>
              <w:left w:val="nil"/>
              <w:bottom w:val="single" w:sz="2" w:space="0" w:color="3C668C"/>
              <w:right w:val="single" w:sz="12" w:space="0" w:color="3C668C"/>
            </w:tcBorders>
            <w:noWrap/>
            <w:vAlign w:val="center"/>
            <w:hideMark/>
          </w:tcPr>
          <w:p w14:paraId="32E509E3" w14:textId="77777777" w:rsidR="00000000" w:rsidRDefault="00D7422D">
            <w:pPr>
              <w:jc w:val="center"/>
            </w:pPr>
            <w:r>
              <w:t>(-0,1)</w:t>
            </w:r>
          </w:p>
        </w:tc>
      </w:tr>
      <w:tr w:rsidR="00000000" w14:paraId="23E1062A" w14:textId="77777777">
        <w:tc>
          <w:tcPr>
            <w:tcW w:w="0" w:type="auto"/>
            <w:gridSpan w:val="3"/>
            <w:tcBorders>
              <w:top w:val="single" w:sz="12" w:space="0" w:color="3C668C"/>
              <w:left w:val="nil"/>
              <w:bottom w:val="nil"/>
              <w:right w:val="nil"/>
            </w:tcBorders>
            <w:vAlign w:val="center"/>
            <w:hideMark/>
          </w:tcPr>
          <w:p w14:paraId="34D9D584" w14:textId="77777777" w:rsidR="00000000" w:rsidRDefault="00D7422D"/>
        </w:tc>
      </w:tr>
    </w:tbl>
    <w:p w14:paraId="0AB6519A" w14:textId="77777777" w:rsidR="00000000" w:rsidRDefault="00D7422D">
      <w:pPr>
        <w:tabs>
          <w:tab w:val="left" w:pos="708"/>
        </w:tabs>
        <w:spacing w:line="240" w:lineRule="auto"/>
      </w:pPr>
    </w:p>
    <w:p w14:paraId="0F653A58" w14:textId="77777777" w:rsidR="00000000" w:rsidRDefault="00D7422D"/>
    <w:sectPr w:rsidR="00000000">
      <w:pgSz w:w="16840" w:h="11907" w:orient="landscape"/>
      <w:pgMar w:top="1418" w:right="1418" w:bottom="1418" w:left="1418" w:header="720" w:footer="720" w:gutter="0"/>
      <w:pgNumType w:start="1"/>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528C1"/>
    <w:multiLevelType w:val="multilevel"/>
    <w:tmpl w:val="7D440C4C"/>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7422D"/>
    <w:rsid w:val="00D74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B66C7"/>
  <w15:chartTrackingRefBased/>
  <w15:docId w15:val="{C039156A-D3D9-45FD-969A-3D80E470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0" w:lineRule="atLeast"/>
    </w:pPr>
    <w:rPr>
      <w:rFonts w:ascii="Trebuchet MS" w:eastAsia="Trebuchet MS" w:hAnsi="Trebuchet MS" w:cs="Trebuchet MS"/>
    </w:rPr>
  </w:style>
  <w:style w:type="paragraph" w:styleId="Kop1">
    <w:name w:val="heading 1"/>
    <w:basedOn w:val="Standaard"/>
    <w:link w:val="Kop1Char"/>
    <w:qFormat/>
    <w:pPr>
      <w:keepNext/>
      <w:jc w:val="center"/>
      <w:outlineLvl w:val="0"/>
    </w:pPr>
    <w:rPr>
      <w:rFonts w:eastAsiaTheme="minorEastAsia" w:cs="Times New Roman"/>
      <w:b/>
      <w:bCs/>
      <w:caps/>
      <w:kern w:val="36"/>
      <w:sz w:val="24"/>
      <w:szCs w:val="24"/>
    </w:rPr>
  </w:style>
  <w:style w:type="paragraph" w:styleId="Kop2">
    <w:name w:val="heading 2"/>
    <w:basedOn w:val="Standaard"/>
    <w:link w:val="Kop2Char"/>
    <w:qFormat/>
    <w:pPr>
      <w:keepNext/>
      <w:numPr>
        <w:numId w:val="2"/>
      </w:numPr>
      <w:ind w:left="0"/>
      <w:jc w:val="center"/>
      <w:outlineLvl w:val="1"/>
    </w:pPr>
    <w:rPr>
      <w:rFonts w:eastAsiaTheme="minorEastAsia" w:cs="Times New Roman"/>
      <w:b/>
      <w:bCs/>
      <w:caps/>
      <w:sz w:val="24"/>
      <w:szCs w:val="24"/>
    </w:rPr>
  </w:style>
  <w:style w:type="paragraph" w:styleId="Kop3">
    <w:name w:val="heading 3"/>
    <w:basedOn w:val="Standaard"/>
    <w:link w:val="Kop3Char"/>
    <w:qFormat/>
    <w:pPr>
      <w:keepNext/>
      <w:numPr>
        <w:ilvl w:val="1"/>
        <w:numId w:val="3"/>
      </w:numPr>
      <w:outlineLvl w:val="2"/>
    </w:pPr>
    <w:rPr>
      <w:rFonts w:eastAsiaTheme="minorEastAsia" w:cs="Times New Roman"/>
      <w:b/>
      <w:bCs/>
    </w:rPr>
  </w:style>
  <w:style w:type="paragraph" w:styleId="Kop4">
    <w:name w:val="heading 4"/>
    <w:basedOn w:val="Standaard"/>
    <w:link w:val="Kop4Char"/>
    <w:qFormat/>
    <w:pPr>
      <w:keepNext/>
      <w:ind w:left="737" w:hanging="737"/>
      <w:outlineLvl w:val="3"/>
    </w:pPr>
    <w:rPr>
      <w:rFonts w:eastAsiaTheme="minorEastAsia" w:cs="Times New Roman"/>
      <w:b/>
      <w:bCs/>
    </w:rPr>
  </w:style>
  <w:style w:type="paragraph" w:styleId="Kop5">
    <w:name w:val="heading 5"/>
    <w:basedOn w:val="Standaard"/>
    <w:link w:val="Kop5Char"/>
    <w:qFormat/>
    <w:pPr>
      <w:ind w:left="737" w:hanging="737"/>
      <w:outlineLvl w:val="4"/>
    </w:pPr>
    <w:rPr>
      <w:rFonts w:eastAsiaTheme="minorEastAsia" w:cs="Times New Roman"/>
      <w:b/>
      <w:bCs/>
    </w:rPr>
  </w:style>
  <w:style w:type="paragraph" w:styleId="Kop6">
    <w:name w:val="heading 6"/>
    <w:basedOn w:val="Standaard"/>
    <w:link w:val="Kop6Char"/>
    <w:qFormat/>
    <w:pPr>
      <w:spacing w:before="240" w:after="60"/>
      <w:outlineLvl w:val="5"/>
    </w:pPr>
    <w:rPr>
      <w:rFonts w:eastAsiaTheme="minorEastAsia" w:cs="Times New Roman"/>
      <w:i/>
      <w:iCs/>
    </w:rPr>
  </w:style>
  <w:style w:type="paragraph" w:styleId="Kop7">
    <w:name w:val="heading 7"/>
    <w:basedOn w:val="Standaard"/>
    <w:link w:val="Kop7Char"/>
    <w:semiHidden/>
    <w:qFormat/>
    <w:pPr>
      <w:ind w:left="737"/>
      <w:outlineLvl w:val="6"/>
    </w:pPr>
    <w:rPr>
      <w:u w:val="single"/>
    </w:rPr>
  </w:style>
  <w:style w:type="paragraph" w:styleId="Kop8">
    <w:name w:val="heading 8"/>
    <w:basedOn w:val="Standaard"/>
    <w:link w:val="Kop8Char"/>
    <w:semiHidden/>
    <w:qFormat/>
    <w:pPr>
      <w:ind w:left="737"/>
      <w:outlineLvl w:val="7"/>
    </w:pPr>
    <w:rPr>
      <w:b/>
      <w:bCs/>
    </w:rPr>
  </w:style>
  <w:style w:type="paragraph" w:styleId="Kop9">
    <w:name w:val="heading 9"/>
    <w:basedOn w:val="Standaard"/>
    <w:link w:val="Kop9Char"/>
    <w:semiHidden/>
    <w:qFormat/>
    <w:pPr>
      <w:ind w:left="737"/>
      <w:outlineLvl w:val="8"/>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unhideWhenUsed/>
    <w:rPr>
      <w:color w:val="0000FF"/>
      <w:u w:val="single"/>
    </w:rPr>
  </w:style>
  <w:style w:type="character" w:styleId="GevolgdeHyperlink">
    <w:name w:val="FollowedHyperlink"/>
    <w:basedOn w:val="Standaardalinea-lettertype"/>
    <w:semiHidden/>
    <w:unhideWhenUsed/>
    <w:rPr>
      <w:color w:val="800080"/>
      <w:u w:val="single"/>
    </w:rPr>
  </w:style>
  <w:style w:type="character" w:customStyle="1" w:styleId="Kop1Char">
    <w:name w:val="Kop 1 Char"/>
    <w:basedOn w:val="Standaardalinea-lettertype"/>
    <w:link w:val="Kop1"/>
    <w:locked/>
    <w:rPr>
      <w:rFonts w:asciiTheme="majorHAnsi" w:eastAsiaTheme="majorEastAsia" w:hAnsiTheme="majorHAnsi" w:cstheme="majorBidi" w:hint="default"/>
      <w:color w:val="2F5496" w:themeColor="accent1" w:themeShade="BF"/>
      <w:sz w:val="32"/>
      <w:szCs w:val="32"/>
    </w:rPr>
  </w:style>
  <w:style w:type="character" w:customStyle="1" w:styleId="Kop2Char">
    <w:name w:val="Kop 2 Char"/>
    <w:basedOn w:val="Standaardalinea-lettertype"/>
    <w:link w:val="Kop2"/>
    <w:semiHidden/>
    <w:locked/>
    <w:rPr>
      <w:rFonts w:asciiTheme="majorHAnsi" w:eastAsiaTheme="majorEastAsia" w:hAnsiTheme="majorHAnsi" w:cstheme="majorBidi" w:hint="default"/>
      <w:color w:val="2F5496" w:themeColor="accent1" w:themeShade="BF"/>
      <w:sz w:val="26"/>
      <w:szCs w:val="26"/>
    </w:rPr>
  </w:style>
  <w:style w:type="character" w:customStyle="1" w:styleId="Kop3Char">
    <w:name w:val="Kop 3 Char"/>
    <w:basedOn w:val="Standaardalinea-lettertype"/>
    <w:link w:val="Kop3"/>
    <w:semiHidden/>
    <w:locked/>
    <w:rPr>
      <w:rFonts w:asciiTheme="majorHAnsi" w:eastAsiaTheme="majorEastAsia" w:hAnsiTheme="majorHAnsi" w:cstheme="majorBidi" w:hint="default"/>
      <w:color w:val="1F3763" w:themeColor="accent1" w:themeShade="7F"/>
      <w:sz w:val="24"/>
      <w:szCs w:val="24"/>
    </w:rPr>
  </w:style>
  <w:style w:type="character" w:customStyle="1" w:styleId="Kop4Char">
    <w:name w:val="Kop 4 Char"/>
    <w:basedOn w:val="Standaardalinea-lettertype"/>
    <w:link w:val="Kop4"/>
    <w:semiHidden/>
    <w:locked/>
    <w:rPr>
      <w:rFonts w:asciiTheme="majorHAnsi" w:eastAsiaTheme="majorEastAsia" w:hAnsiTheme="majorHAnsi" w:cstheme="majorBidi" w:hint="default"/>
      <w:i/>
      <w:iCs/>
      <w:color w:val="2F5496" w:themeColor="accent1" w:themeShade="BF"/>
    </w:rPr>
  </w:style>
  <w:style w:type="character" w:customStyle="1" w:styleId="Kop5Char">
    <w:name w:val="Kop 5 Char"/>
    <w:basedOn w:val="Standaardalinea-lettertype"/>
    <w:link w:val="Kop5"/>
    <w:semiHidden/>
    <w:locked/>
    <w:rPr>
      <w:rFonts w:asciiTheme="majorHAnsi" w:eastAsiaTheme="majorEastAsia" w:hAnsiTheme="majorHAnsi" w:cstheme="majorBidi" w:hint="default"/>
      <w:color w:val="2F5496" w:themeColor="accent1" w:themeShade="BF"/>
    </w:rPr>
  </w:style>
  <w:style w:type="character" w:customStyle="1" w:styleId="Kop6Char">
    <w:name w:val="Kop 6 Char"/>
    <w:basedOn w:val="Standaardalinea-lettertype"/>
    <w:link w:val="Kop6"/>
    <w:semiHidden/>
    <w:locked/>
    <w:rPr>
      <w:rFonts w:asciiTheme="majorHAnsi" w:eastAsiaTheme="majorEastAsia" w:hAnsiTheme="majorHAnsi" w:cstheme="majorBidi" w:hint="default"/>
      <w:color w:val="1F3763" w:themeColor="accent1" w:themeShade="7F"/>
    </w:rPr>
  </w:style>
  <w:style w:type="paragraph" w:customStyle="1" w:styleId="msonormal0">
    <w:name w:val="msonormal"/>
    <w:basedOn w:val="Standaard"/>
    <w:semiHidden/>
    <w:pPr>
      <w:spacing w:before="100" w:beforeAutospacing="1" w:after="100" w:afterAutospacing="1" w:line="240" w:lineRule="auto"/>
    </w:pPr>
    <w:rPr>
      <w:rFonts w:cs="Times New Roman"/>
      <w:sz w:val="24"/>
      <w:szCs w:val="24"/>
    </w:rPr>
  </w:style>
  <w:style w:type="paragraph" w:styleId="Normaalweb">
    <w:name w:val="Normal (Web)"/>
    <w:basedOn w:val="Standaard"/>
    <w:semiHidden/>
    <w:unhideWhenUsed/>
    <w:pPr>
      <w:spacing w:before="100" w:beforeAutospacing="1" w:after="100" w:afterAutospacing="1" w:line="240" w:lineRule="auto"/>
    </w:pPr>
    <w:rPr>
      <w:rFonts w:cs="Times New Roman"/>
      <w:sz w:val="24"/>
      <w:szCs w:val="24"/>
    </w:rPr>
  </w:style>
  <w:style w:type="character" w:customStyle="1" w:styleId="Kop7Char">
    <w:name w:val="Kop 7 Char"/>
    <w:basedOn w:val="Standaardalinea-lettertype"/>
    <w:link w:val="Kop7"/>
    <w:semiHidden/>
    <w:locked/>
    <w:rPr>
      <w:rFonts w:asciiTheme="majorHAnsi" w:eastAsiaTheme="majorEastAsia" w:hAnsiTheme="majorHAnsi" w:cstheme="majorBidi" w:hint="default"/>
      <w:i/>
      <w:iCs/>
      <w:color w:val="1F3763" w:themeColor="accent1" w:themeShade="7F"/>
    </w:rPr>
  </w:style>
  <w:style w:type="character" w:customStyle="1" w:styleId="Kop8Char">
    <w:name w:val="Kop 8 Char"/>
    <w:basedOn w:val="Standaardalinea-lettertype"/>
    <w:link w:val="Kop8"/>
    <w:semiHidden/>
    <w:locked/>
    <w:rPr>
      <w:rFonts w:asciiTheme="majorHAnsi" w:eastAsiaTheme="majorEastAsia" w:hAnsiTheme="majorHAnsi" w:cstheme="majorBidi" w:hint="default"/>
      <w:color w:val="272727" w:themeColor="text1" w:themeTint="D8"/>
      <w:sz w:val="21"/>
      <w:szCs w:val="21"/>
    </w:rPr>
  </w:style>
  <w:style w:type="character" w:customStyle="1" w:styleId="Kop9Char">
    <w:name w:val="Kop 9 Char"/>
    <w:basedOn w:val="Standaardalinea-lettertype"/>
    <w:link w:val="Kop9"/>
    <w:semiHidden/>
    <w:locked/>
    <w:rPr>
      <w:rFonts w:asciiTheme="majorHAnsi" w:eastAsiaTheme="majorEastAsia" w:hAnsiTheme="majorHAnsi" w:cstheme="majorBidi" w:hint="default"/>
      <w:i/>
      <w:iCs/>
      <w:color w:val="272727" w:themeColor="text1" w:themeTint="D8"/>
      <w:sz w:val="21"/>
      <w:szCs w:val="21"/>
    </w:rPr>
  </w:style>
  <w:style w:type="paragraph" w:styleId="Inhopg1">
    <w:name w:val="toc 1"/>
    <w:basedOn w:val="Standaard"/>
    <w:autoRedefine/>
    <w:semiHidden/>
    <w:unhideWhenUsed/>
    <w:pPr>
      <w:spacing w:after="120"/>
    </w:pPr>
    <w:rPr>
      <w:b/>
      <w:bCs/>
    </w:rPr>
  </w:style>
  <w:style w:type="paragraph" w:styleId="Inhopg2">
    <w:name w:val="toc 2"/>
    <w:basedOn w:val="Standaard"/>
    <w:autoRedefine/>
    <w:semiHidden/>
    <w:unhideWhenUsed/>
    <w:pPr>
      <w:spacing w:before="240"/>
    </w:pPr>
    <w:rPr>
      <w:b/>
      <w:bCs/>
      <w:caps/>
    </w:rPr>
  </w:style>
  <w:style w:type="paragraph" w:styleId="Inhopg3">
    <w:name w:val="toc 3"/>
    <w:basedOn w:val="Standaard"/>
    <w:autoRedefine/>
    <w:semiHidden/>
    <w:unhideWhenUsed/>
  </w:style>
  <w:style w:type="paragraph" w:styleId="Inhopg4">
    <w:name w:val="toc 4"/>
    <w:basedOn w:val="Standaard"/>
    <w:autoRedefine/>
    <w:semiHidden/>
    <w:unhideWhenUsed/>
  </w:style>
  <w:style w:type="paragraph" w:styleId="Inhopg5">
    <w:name w:val="toc 5"/>
    <w:basedOn w:val="Standaard"/>
    <w:autoRedefine/>
    <w:semiHidden/>
    <w:unhideWhenUsed/>
  </w:style>
  <w:style w:type="paragraph" w:styleId="Inhopg6">
    <w:name w:val="toc 6"/>
    <w:basedOn w:val="Standaard"/>
    <w:autoRedefine/>
    <w:semiHidden/>
    <w:unhideWhenUsed/>
  </w:style>
  <w:style w:type="paragraph" w:styleId="Inhopg7">
    <w:name w:val="toc 7"/>
    <w:basedOn w:val="Standaard"/>
    <w:autoRedefine/>
    <w:semiHidden/>
    <w:unhideWhenUsed/>
  </w:style>
  <w:style w:type="paragraph" w:styleId="Inhopg8">
    <w:name w:val="toc 8"/>
    <w:basedOn w:val="Standaard"/>
    <w:autoRedefine/>
    <w:semiHidden/>
    <w:unhideWhenUsed/>
  </w:style>
  <w:style w:type="paragraph" w:styleId="Inhopg9">
    <w:name w:val="toc 9"/>
    <w:basedOn w:val="Standaard"/>
    <w:autoRedefine/>
    <w:semiHidden/>
    <w:unhideWhenUsed/>
  </w:style>
  <w:style w:type="paragraph" w:styleId="Voetnoottekst">
    <w:name w:val="footnote text"/>
    <w:basedOn w:val="Standaard"/>
    <w:link w:val="VoetnoottekstChar"/>
    <w:semiHidden/>
    <w:unhideWhenUsed/>
    <w:pPr>
      <w:spacing w:line="240" w:lineRule="auto"/>
    </w:pPr>
    <w:rPr>
      <w:sz w:val="16"/>
      <w:szCs w:val="16"/>
    </w:rPr>
  </w:style>
  <w:style w:type="character" w:customStyle="1" w:styleId="VoetnoottekstChar">
    <w:name w:val="Voetnoottekst Char"/>
    <w:basedOn w:val="Standaardalinea-lettertype"/>
    <w:link w:val="Voetnoottekst"/>
    <w:semiHidden/>
    <w:locked/>
    <w:rPr>
      <w:rFonts w:ascii="Trebuchet MS" w:eastAsia="Trebuchet MS" w:hAnsi="Trebuchet MS" w:cs="Trebuchet MS" w:hint="default"/>
    </w:rPr>
  </w:style>
  <w:style w:type="paragraph" w:styleId="Tekstopmerking">
    <w:name w:val="annotation text"/>
    <w:basedOn w:val="Standaard"/>
    <w:link w:val="TekstopmerkingChar"/>
    <w:semiHidden/>
    <w:unhideWhenUsed/>
  </w:style>
  <w:style w:type="character" w:customStyle="1" w:styleId="TekstopmerkingChar">
    <w:name w:val="Tekst opmerking Char"/>
    <w:basedOn w:val="Standaardalinea-lettertype"/>
    <w:link w:val="Tekstopmerking"/>
    <w:semiHidden/>
    <w:locked/>
    <w:rPr>
      <w:rFonts w:ascii="Trebuchet MS" w:eastAsia="Trebuchet MS" w:hAnsi="Trebuchet MS" w:cs="Trebuchet MS" w:hint="default"/>
    </w:rPr>
  </w:style>
  <w:style w:type="paragraph" w:styleId="Koptekst">
    <w:name w:val="header"/>
    <w:basedOn w:val="Standaard"/>
    <w:link w:val="KoptekstChar"/>
    <w:semiHidden/>
    <w:unhideWhenUsed/>
  </w:style>
  <w:style w:type="character" w:customStyle="1" w:styleId="KoptekstChar">
    <w:name w:val="Koptekst Char"/>
    <w:basedOn w:val="Standaardalinea-lettertype"/>
    <w:link w:val="Koptekst"/>
    <w:semiHidden/>
    <w:locked/>
    <w:rPr>
      <w:rFonts w:ascii="Trebuchet MS" w:eastAsia="Trebuchet MS" w:hAnsi="Trebuchet MS" w:cs="Trebuchet MS" w:hint="default"/>
    </w:rPr>
  </w:style>
  <w:style w:type="paragraph" w:styleId="Voettekst">
    <w:name w:val="footer"/>
    <w:basedOn w:val="Standaard"/>
    <w:link w:val="VoettekstChar"/>
    <w:semiHidden/>
    <w:unhideWhenUsed/>
    <w:rPr>
      <w:sz w:val="14"/>
      <w:szCs w:val="14"/>
    </w:rPr>
  </w:style>
  <w:style w:type="character" w:customStyle="1" w:styleId="VoettekstChar">
    <w:name w:val="Voettekst Char"/>
    <w:basedOn w:val="Standaardalinea-lettertype"/>
    <w:link w:val="Voettekst"/>
    <w:semiHidden/>
    <w:locked/>
    <w:rPr>
      <w:rFonts w:ascii="Trebuchet MS" w:eastAsia="Trebuchet MS" w:hAnsi="Trebuchet MS" w:cs="Trebuchet MS" w:hint="default"/>
    </w:rPr>
  </w:style>
  <w:style w:type="paragraph" w:styleId="Plattetekstinspringen">
    <w:name w:val="Body Text Indent"/>
    <w:basedOn w:val="Standaard"/>
    <w:link w:val="PlattetekstinspringenChar"/>
    <w:semiHidden/>
    <w:unhideWhenUsed/>
    <w:pPr>
      <w:spacing w:line="240" w:lineRule="auto"/>
      <w:ind w:left="8494"/>
    </w:pPr>
    <w:rPr>
      <w:rFonts w:ascii="Arial" w:hAnsi="Arial" w:cs="Arial"/>
      <w:sz w:val="16"/>
      <w:szCs w:val="16"/>
    </w:rPr>
  </w:style>
  <w:style w:type="character" w:customStyle="1" w:styleId="PlattetekstinspringenChar">
    <w:name w:val="Platte tekst inspringen Char"/>
    <w:basedOn w:val="Standaardalinea-lettertype"/>
    <w:link w:val="Plattetekstinspringen"/>
    <w:semiHidden/>
    <w:locked/>
    <w:rPr>
      <w:rFonts w:ascii="Trebuchet MS" w:eastAsia="Trebuchet MS" w:hAnsi="Trebuchet MS" w:cs="Trebuchet MS" w:hint="default"/>
    </w:rPr>
  </w:style>
  <w:style w:type="paragraph" w:styleId="Documentstructuur">
    <w:name w:val="Document Map"/>
    <w:basedOn w:val="Standaard"/>
    <w:link w:val="DocumentstructuurChar"/>
    <w:semiHidden/>
    <w:unhideWhenUsed/>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locked/>
    <w:rPr>
      <w:rFonts w:ascii="Segoe UI" w:eastAsia="Trebuchet MS" w:hAnsi="Segoe UI" w:cs="Segoe UI" w:hint="default"/>
      <w:sz w:val="16"/>
      <w:szCs w:val="16"/>
    </w:rPr>
  </w:style>
  <w:style w:type="paragraph" w:styleId="Onderwerpvanopmerking">
    <w:name w:val="annotation subject"/>
    <w:basedOn w:val="Standaard"/>
    <w:link w:val="OnderwerpvanopmerkingChar"/>
    <w:semiHidden/>
    <w:unhideWhenUsed/>
    <w:rPr>
      <w:b/>
      <w:bCs/>
    </w:rPr>
  </w:style>
  <w:style w:type="character" w:customStyle="1" w:styleId="OnderwerpvanopmerkingChar">
    <w:name w:val="Onderwerp van opmerking Char"/>
    <w:basedOn w:val="TekstopmerkingChar"/>
    <w:link w:val="Onderwerpvanopmerking"/>
    <w:semiHidden/>
    <w:locked/>
    <w:rPr>
      <w:rFonts w:ascii="Trebuchet MS" w:eastAsia="Trebuchet MS" w:hAnsi="Trebuchet MS" w:cs="Trebuchet MS" w:hint="default"/>
      <w:b/>
      <w:bCs/>
    </w:rPr>
  </w:style>
  <w:style w:type="paragraph" w:styleId="Ballontekst">
    <w:name w:val="Balloon Text"/>
    <w:basedOn w:val="Standaard"/>
    <w:link w:val="BallontekstChar"/>
    <w:semiHidden/>
    <w:rPr>
      <w:rFonts w:ascii="Tahoma" w:hAnsi="Tahoma" w:cs="Tahoma"/>
      <w:sz w:val="16"/>
      <w:szCs w:val="16"/>
    </w:rPr>
  </w:style>
  <w:style w:type="character" w:customStyle="1" w:styleId="BallontekstChar">
    <w:name w:val="Ballontekst Char"/>
    <w:basedOn w:val="Standaardalinea-lettertype"/>
    <w:link w:val="Ballontekst"/>
    <w:locked/>
    <w:rPr>
      <w:rFonts w:ascii="Segoe UI" w:eastAsia="Trebuchet MS" w:hAnsi="Segoe UI" w:cs="Segoe UI" w:hint="default"/>
      <w:sz w:val="18"/>
      <w:szCs w:val="18"/>
    </w:rPr>
  </w:style>
  <w:style w:type="paragraph" w:customStyle="1" w:styleId="bullet1ingesprongen">
    <w:name w:val="bullet1ingesprongen"/>
    <w:basedOn w:val="Standaard"/>
    <w:semiHidden/>
    <w:pPr>
      <w:ind w:left="1134" w:hanging="397"/>
    </w:pPr>
  </w:style>
  <w:style w:type="paragraph" w:customStyle="1" w:styleId="bullet1nietingesprongen">
    <w:name w:val="bullet1nietingesprongen"/>
    <w:basedOn w:val="Standaard"/>
    <w:semiHidden/>
  </w:style>
  <w:style w:type="paragraph" w:customStyle="1" w:styleId="bulletingesprongen">
    <w:name w:val="bulletingesprongen"/>
    <w:basedOn w:val="Standaard"/>
    <w:semiHidden/>
    <w:pPr>
      <w:ind w:left="1134" w:hanging="397"/>
    </w:pPr>
  </w:style>
  <w:style w:type="paragraph" w:customStyle="1" w:styleId="bulletnietingesprongen">
    <w:name w:val="bulletnietingesprongen"/>
    <w:basedOn w:val="Standaard"/>
    <w:semiHidden/>
  </w:style>
  <w:style w:type="paragraph" w:customStyle="1" w:styleId="bulletaingesprongen">
    <w:name w:val="bulletaingesprongen"/>
    <w:basedOn w:val="Standaard"/>
    <w:semiHidden/>
    <w:pPr>
      <w:ind w:left="1134" w:hanging="397"/>
    </w:pPr>
  </w:style>
  <w:style w:type="paragraph" w:customStyle="1" w:styleId="bulletanietingesprongen">
    <w:name w:val="bulletanietingesprongen"/>
    <w:basedOn w:val="Standaard"/>
    <w:semiHidden/>
  </w:style>
  <w:style w:type="paragraph" w:customStyle="1" w:styleId="inspringtekststandaard">
    <w:name w:val="inspringtekststandaard"/>
    <w:basedOn w:val="Standaard"/>
    <w:semiHidden/>
  </w:style>
  <w:style w:type="paragraph" w:customStyle="1" w:styleId="tekstvoorblad">
    <w:name w:val="tekstvoorblad"/>
    <w:basedOn w:val="Standaard"/>
    <w:semiHidden/>
    <w:pPr>
      <w:jc w:val="center"/>
    </w:pPr>
    <w:rPr>
      <w:sz w:val="24"/>
      <w:szCs w:val="24"/>
    </w:rPr>
  </w:style>
  <w:style w:type="character" w:styleId="Voetnootmarkering">
    <w:name w:val="footnote reference"/>
    <w:basedOn w:val="Standaardalinea-lettertype"/>
    <w:semiHidden/>
    <w:unhideWhenUsed/>
    <w:rPr>
      <w:vertAlign w:val="superscript"/>
    </w:rPr>
  </w:style>
  <w:style w:type="character" w:styleId="Paginanummer">
    <w:name w:val="page number"/>
    <w:basedOn w:val="Standaardalinea-lettertype"/>
    <w:rPr>
      <w:rFonts w:ascii="Trebuchet MS" w:hAnsi="Trebuchet MS" w:hint="default"/>
    </w:rPr>
  </w:style>
  <w:style w:type="character" w:customStyle="1" w:styleId="kop3char0">
    <w:name w:val="kop3char"/>
    <w:basedOn w:val="Standaardalinea-lettertype"/>
    <w:rPr>
      <w:rFonts w:ascii="Trebuchet MS" w:hAnsi="Trebuchet MS" w:hint="default"/>
      <w:b/>
      <w:bCs/>
    </w:rPr>
  </w:style>
  <w:style w:type="character" w:customStyle="1" w:styleId="bulletingesprongenchar">
    <w:name w:val="bulletingesprongenchar"/>
    <w:basedOn w:val="Standaardalinea-lettertype"/>
    <w:rPr>
      <w:rFonts w:ascii="Trebuchet MS" w:hAnsi="Trebuchet MS" w:hint="default"/>
    </w:rPr>
  </w:style>
  <w:style w:type="character" w:customStyle="1" w:styleId="inspringtekststandaardchar">
    <w:name w:val="inspringtekststandaardchar"/>
    <w:basedOn w:val="Standaardalinea-lettertype"/>
    <w:rPr>
      <w:rFonts w:ascii="Trebuchet MS" w:hAnsi="Trebuchet M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nvl.vbent.org/kvpo/img_grf_rapportcijfers.php?tbl_correspondentie_basis_id=8333&amp;7273193&amp;fn=72731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vl.vbent.org/kvpo/img_grf_respons.php?tbl_correspondentie_basis_id=8333&amp;7273193&amp;fn=7273194" TargetMode="External"/><Relationship Id="rId5" Type="http://schemas.openxmlformats.org/officeDocument/2006/relationships/image" Target="https://nvl.vbent.org/Qfeedback_rapport.jp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881</Words>
  <Characters>5070</Characters>
  <Application>Microsoft Office Word</Application>
  <DocSecurity>0</DocSecurity>
  <Lines>42</Lines>
  <Paragraphs>11</Paragraphs>
  <ScaleCrop>false</ScaleCrop>
  <Company>bs De Bolster, Nuth 2020 leerlingen</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Kwaliteitsvragenlijst nvl_kvpo</dc:title>
  <dc:subject/>
  <dc:creator>Frank Feron</dc:creator>
  <cp:keywords/>
  <dc:description/>
  <cp:lastModifiedBy>Frank Feron</cp:lastModifiedBy>
  <cp:revision>2</cp:revision>
  <cp:lastPrinted>2020-12-01T15:22:00Z</cp:lastPrinted>
  <dcterms:created xsi:type="dcterms:W3CDTF">2022-06-14T11:09:00Z</dcterms:created>
  <dcterms:modified xsi:type="dcterms:W3CDTF">2022-06-14T11:09:00Z</dcterms:modified>
</cp:coreProperties>
</file>