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7" w:rsidRDefault="001C3117" w:rsidP="001C3117">
      <w:pPr>
        <w:tabs>
          <w:tab w:val="right" w:pos="9072"/>
        </w:tabs>
        <w:spacing w:after="0" w:line="280" w:lineRule="atLeast"/>
        <w:rPr>
          <w:rFonts w:ascii="Franklin Gothic Book" w:eastAsia="Calibri" w:hAnsi="Franklin Gothic Book" w:cs="Times New Roman"/>
          <w:b/>
          <w:color w:val="404040"/>
          <w:sz w:val="32"/>
        </w:rPr>
      </w:pPr>
      <w:bookmarkStart w:id="0" w:name="_GoBack"/>
      <w:bookmarkEnd w:id="0"/>
      <w:r>
        <w:rPr>
          <w:rFonts w:ascii="Franklin Gothic Book" w:eastAsia="Calibri" w:hAnsi="Franklin Gothic Book" w:cs="Times New Roman"/>
          <w:b/>
          <w:color w:val="404040"/>
          <w:sz w:val="32"/>
        </w:rPr>
        <w:t>Kwaliteitskaart Meldcode verkort overzicht van de stappen</w:t>
      </w:r>
      <w:r>
        <w:rPr>
          <w:rFonts w:ascii="Franklin Gothic Book" w:eastAsia="Calibri" w:hAnsi="Franklin Gothic Book" w:cs="Times New Roman"/>
          <w:b/>
          <w:color w:val="404040"/>
          <w:sz w:val="32"/>
        </w:rPr>
        <w:tab/>
      </w:r>
    </w:p>
    <w:p w:rsidR="001C3117" w:rsidRPr="001C3117" w:rsidRDefault="001C3117" w:rsidP="001C3117">
      <w:pPr>
        <w:spacing w:after="0" w:line="280" w:lineRule="atLeast"/>
        <w:rPr>
          <w:rFonts w:ascii="Franklin Gothic Book" w:eastAsia="Calibri" w:hAnsi="Franklin Gothic Book" w:cs="Times New Roman"/>
          <w:b/>
          <w:color w:val="404040"/>
          <w:sz w:val="32"/>
        </w:rPr>
      </w:pPr>
      <w:r w:rsidRPr="001C3117">
        <w:rPr>
          <w:rFonts w:ascii="Franklin Gothic Book" w:eastAsia="Calibri" w:hAnsi="Franklin Gothic Book" w:cs="Times New Roman"/>
          <w:b/>
          <w:color w:val="404040"/>
          <w:sz w:val="32"/>
        </w:rPr>
        <w:t>Verkort overzicht van de stappen</w:t>
      </w:r>
    </w:p>
    <w:p w:rsidR="001C3117" w:rsidRPr="001C3117" w:rsidRDefault="001C3117" w:rsidP="001C3117">
      <w:pPr>
        <w:spacing w:after="0" w:line="280" w:lineRule="atLeast"/>
        <w:rPr>
          <w:rFonts w:ascii="Franklin Gothic Book" w:eastAsia="Calibri" w:hAnsi="Franklin Gothic Book" w:cs="Times New Roman"/>
          <w:color w:val="404040"/>
        </w:rPr>
      </w:pPr>
      <w:r w:rsidRPr="001C3117">
        <w:rPr>
          <w:rFonts w:ascii="Franklin Gothic Book" w:eastAsia="Calibri" w:hAnsi="Franklin Gothic Book" w:cs="Times New Roman"/>
          <w:color w:val="404040"/>
        </w:rPr>
        <w:t xml:space="preserve">Hieronder wordt een verkort/praktisch overzicht weergegeven. </w:t>
      </w:r>
    </w:p>
    <w:p w:rsidR="001C3117" w:rsidRPr="001C3117" w:rsidRDefault="001C3117" w:rsidP="001C3117">
      <w:pPr>
        <w:spacing w:after="0" w:line="280" w:lineRule="atLeast"/>
        <w:rPr>
          <w:rFonts w:ascii="Franklin Gothic Book" w:eastAsia="Calibri" w:hAnsi="Franklin Gothic Book" w:cs="Times New Roman"/>
          <w:color w:val="404040"/>
        </w:rPr>
      </w:pPr>
    </w:p>
    <w:tbl>
      <w:tblPr>
        <w:tblStyle w:val="TableGrid1"/>
        <w:tblW w:w="0" w:type="auto"/>
        <w:tblLook w:val="04A0"/>
      </w:tblPr>
      <w:tblGrid>
        <w:gridCol w:w="2344"/>
        <w:gridCol w:w="6440"/>
      </w:tblGrid>
      <w:tr w:rsidR="001C3117" w:rsidRPr="001C3117" w:rsidTr="00483665">
        <w:tc>
          <w:tcPr>
            <w:tcW w:w="2344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>Stap 0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</w:p>
        </w:tc>
        <w:tc>
          <w:tcPr>
            <w:tcW w:w="6440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 xml:space="preserve">Stap 0: </w:t>
            </w:r>
            <w:proofErr w:type="spellStart"/>
            <w:r w:rsidRPr="001C3117">
              <w:rPr>
                <w:rFonts w:eastAsia="Calibri" w:cs="Times New Roman"/>
                <w:b/>
                <w:color w:val="404040"/>
              </w:rPr>
              <w:t>Vroegsignalering</w:t>
            </w:r>
            <w:proofErr w:type="spellEnd"/>
            <w:r w:rsidRPr="001C3117">
              <w:rPr>
                <w:rFonts w:eastAsia="Calibri" w:cs="Times New Roman"/>
                <w:b/>
                <w:color w:val="404040"/>
              </w:rPr>
              <w:t xml:space="preserve"> en preventie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i/>
                <w:color w:val="404040"/>
              </w:rPr>
            </w:pPr>
            <w:r w:rsidRPr="001C3117">
              <w:rPr>
                <w:rFonts w:eastAsia="Calibri" w:cs="Times New Roman"/>
                <w:i/>
                <w:color w:val="404040"/>
              </w:rPr>
              <w:t>De leerkracht:</w:t>
            </w:r>
          </w:p>
          <w:p w:rsidR="001C3117" w:rsidRPr="001C3117" w:rsidRDefault="001C3117" w:rsidP="001C3117">
            <w:pPr>
              <w:numPr>
                <w:ilvl w:val="0"/>
                <w:numId w:val="3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bespreekt direct met de ouders, het kind en met eventueel overig betrokkenen wanneer er zorgen zijn</w:t>
            </w:r>
          </w:p>
          <w:p w:rsidR="001C3117" w:rsidRPr="001C3117" w:rsidRDefault="001C3117" w:rsidP="001C3117">
            <w:pPr>
              <w:numPr>
                <w:ilvl w:val="0"/>
                <w:numId w:val="3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geeft advies en ondersteuning</w:t>
            </w:r>
          </w:p>
          <w:p w:rsidR="001C3117" w:rsidRPr="001C3117" w:rsidRDefault="001C3117" w:rsidP="001C3117">
            <w:pPr>
              <w:numPr>
                <w:ilvl w:val="0"/>
                <w:numId w:val="3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zorg voor aanvullende hulp</w:t>
            </w:r>
          </w:p>
          <w:p w:rsidR="001C3117" w:rsidRPr="001C3117" w:rsidRDefault="001C3117" w:rsidP="001C3117">
            <w:pPr>
              <w:numPr>
                <w:ilvl w:val="0"/>
                <w:numId w:val="3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brengt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IB’er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op de hoogte</w:t>
            </w:r>
          </w:p>
          <w:p w:rsidR="001C3117" w:rsidRPr="001C3117" w:rsidRDefault="001C3117" w:rsidP="001C3117">
            <w:pPr>
              <w:numPr>
                <w:ilvl w:val="0"/>
                <w:numId w:val="3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proofErr w:type="spellStart"/>
            <w:r w:rsidRPr="001C3117">
              <w:rPr>
                <w:rFonts w:eastAsia="Calibri" w:cs="Times New Roman"/>
                <w:color w:val="404040"/>
              </w:rPr>
              <w:t>IB’er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zet de leerling in de verwijsindex t.b.v. samenwerken</w:t>
            </w:r>
          </w:p>
          <w:p w:rsidR="001C3117" w:rsidRPr="001C3117" w:rsidRDefault="001C3117" w:rsidP="001C3117">
            <w:pPr>
              <w:spacing w:before="120" w:line="280" w:lineRule="atLeast"/>
              <w:ind w:left="360"/>
              <w:contextualSpacing/>
              <w:rPr>
                <w:rFonts w:eastAsia="Calibri" w:cs="Times New Roman"/>
                <w:color w:val="404040"/>
              </w:rPr>
            </w:pPr>
          </w:p>
        </w:tc>
      </w:tr>
      <w:tr w:rsidR="001C3117" w:rsidRPr="001C3117" w:rsidTr="00483665">
        <w:tc>
          <w:tcPr>
            <w:tcW w:w="2344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>Stap 1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In kaart brengen van signalen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</w:p>
        </w:tc>
        <w:tc>
          <w:tcPr>
            <w:tcW w:w="6440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 xml:space="preserve">Stap 1: in kaart brengen van signalen en wanneer nodig de </w:t>
            </w:r>
            <w:proofErr w:type="spellStart"/>
            <w:r w:rsidRPr="001C3117">
              <w:rPr>
                <w:rFonts w:eastAsia="Calibri" w:cs="Times New Roman"/>
                <w:b/>
                <w:color w:val="404040"/>
              </w:rPr>
              <w:t>kindcheck</w:t>
            </w:r>
            <w:proofErr w:type="spellEnd"/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i/>
                <w:color w:val="404040"/>
              </w:rPr>
            </w:pPr>
            <w:r w:rsidRPr="001C3117">
              <w:rPr>
                <w:rFonts w:eastAsia="Calibri" w:cs="Times New Roman"/>
                <w:i/>
                <w:color w:val="404040"/>
              </w:rPr>
              <w:t>De leerkracht:</w:t>
            </w:r>
          </w:p>
          <w:p w:rsidR="001C3117" w:rsidRPr="001C3117" w:rsidRDefault="001C3117" w:rsidP="001C3117">
            <w:pPr>
              <w:numPr>
                <w:ilvl w:val="0"/>
                <w:numId w:val="7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observeert het kind</w:t>
            </w:r>
          </w:p>
          <w:p w:rsidR="001C3117" w:rsidRPr="001C3117" w:rsidRDefault="001C3117" w:rsidP="001C3117">
            <w:pPr>
              <w:numPr>
                <w:ilvl w:val="0"/>
                <w:numId w:val="7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brengt signalen in kaart evt. gebruik signaleringslijst</w:t>
            </w:r>
          </w:p>
          <w:p w:rsidR="001C3117" w:rsidRPr="001C3117" w:rsidRDefault="001C3117" w:rsidP="001C3117">
            <w:pPr>
              <w:numPr>
                <w:ilvl w:val="0"/>
                <w:numId w:val="7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gaat in gesprek met de ouder(s) over de zorgen</w:t>
            </w:r>
          </w:p>
          <w:p w:rsidR="001C3117" w:rsidRPr="001C3117" w:rsidRDefault="001C3117" w:rsidP="001C3117">
            <w:pPr>
              <w:numPr>
                <w:ilvl w:val="0"/>
                <w:numId w:val="7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gaat in gesprek met het kind over de zorgen</w:t>
            </w:r>
          </w:p>
          <w:p w:rsidR="001C3117" w:rsidRPr="001C3117" w:rsidRDefault="001C3117" w:rsidP="001C3117">
            <w:pPr>
              <w:numPr>
                <w:ilvl w:val="0"/>
                <w:numId w:val="1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gaat in gesprek met betrokkenen over de zorgen</w:t>
            </w:r>
          </w:p>
          <w:p w:rsidR="001C3117" w:rsidRPr="001C3117" w:rsidRDefault="001C3117" w:rsidP="001C3117">
            <w:pPr>
              <w:numPr>
                <w:ilvl w:val="0"/>
                <w:numId w:val="1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Indien van toepassing wordt de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kindcheck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uitgevoerd</w:t>
            </w:r>
          </w:p>
          <w:p w:rsidR="001C3117" w:rsidRPr="001C3117" w:rsidRDefault="001C3117" w:rsidP="001C3117">
            <w:pPr>
              <w:numPr>
                <w:ilvl w:val="0"/>
                <w:numId w:val="1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registreert de signalen in het mapje “signalering gezinnen”</w:t>
            </w:r>
          </w:p>
          <w:p w:rsidR="001C3117" w:rsidRPr="001C3117" w:rsidRDefault="001C3117" w:rsidP="001C3117">
            <w:pPr>
              <w:numPr>
                <w:ilvl w:val="0"/>
                <w:numId w:val="1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registreert de gesprekken in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Parnassys</w:t>
            </w:r>
            <w:proofErr w:type="spellEnd"/>
          </w:p>
          <w:p w:rsidR="001C3117" w:rsidRPr="001C3117" w:rsidRDefault="001C3117" w:rsidP="001C3117">
            <w:pPr>
              <w:numPr>
                <w:ilvl w:val="0"/>
                <w:numId w:val="1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brengt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IB’er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op de hoogte</w:t>
            </w:r>
          </w:p>
          <w:p w:rsidR="001C3117" w:rsidRPr="001C3117" w:rsidRDefault="001C3117" w:rsidP="001C3117">
            <w:pPr>
              <w:spacing w:line="280" w:lineRule="atLeast"/>
              <w:ind w:left="360"/>
              <w:contextualSpacing/>
              <w:rPr>
                <w:rFonts w:eastAsia="Calibri" w:cs="Times New Roman"/>
                <w:color w:val="404040"/>
              </w:rPr>
            </w:pPr>
          </w:p>
        </w:tc>
      </w:tr>
      <w:tr w:rsidR="001C3117" w:rsidRPr="001C3117" w:rsidTr="00483665">
        <w:tc>
          <w:tcPr>
            <w:tcW w:w="2344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>Stap 2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Collegiale consultatie</w:t>
            </w:r>
          </w:p>
        </w:tc>
        <w:tc>
          <w:tcPr>
            <w:tcW w:w="6440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>Stap 2: collegiale consultatie en zo nodig raadplegen van Veilig Thuis of een deskundige op het gebied van letselduiding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i/>
                <w:color w:val="404040"/>
              </w:rPr>
            </w:pPr>
            <w:r w:rsidRPr="001C3117">
              <w:rPr>
                <w:rFonts w:eastAsia="Calibri" w:cs="Times New Roman"/>
                <w:i/>
                <w:color w:val="404040"/>
              </w:rPr>
              <w:t>De leerkracht:</w:t>
            </w:r>
          </w:p>
          <w:p w:rsidR="001C3117" w:rsidRPr="001C3117" w:rsidRDefault="001C3117" w:rsidP="001C3117">
            <w:pPr>
              <w:numPr>
                <w:ilvl w:val="0"/>
                <w:numId w:val="2"/>
              </w:numPr>
              <w:spacing w:before="120" w:line="280" w:lineRule="atLeast"/>
              <w:contextualSpacing/>
              <w:rPr>
                <w:rFonts w:eastAsia="Calibri" w:cs="Times New Roman"/>
                <w:i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consulteert bij signalen eerst </w:t>
            </w:r>
            <w:r w:rsidRPr="001C3117">
              <w:rPr>
                <w:rFonts w:eastAsia="Calibri" w:cs="Times New Roman"/>
                <w:i/>
                <w:color w:val="404040"/>
              </w:rPr>
              <w:t>intern (aandachtsfunctionaris/ intern begeleider/ directeur)</w:t>
            </w:r>
          </w:p>
          <w:p w:rsidR="001C3117" w:rsidRPr="001C3117" w:rsidRDefault="001C3117" w:rsidP="001C3117">
            <w:pPr>
              <w:numPr>
                <w:ilvl w:val="0"/>
                <w:numId w:val="2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wanneer nodig en met toestemming van de ouders of wettelijke betrokkene(n) wordt overleg gevoerd met het gebiedsteam/huisarts/betrokken instanties</w:t>
            </w:r>
          </w:p>
          <w:p w:rsidR="001C3117" w:rsidRPr="001C3117" w:rsidRDefault="001C3117" w:rsidP="001C3117">
            <w:pPr>
              <w:numPr>
                <w:ilvl w:val="0"/>
                <w:numId w:val="2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indien nodig en bij letselduiding wordt advies gevraagd bij Veilig Thuis (Anoniem) 0800-2000</w:t>
            </w:r>
          </w:p>
          <w:p w:rsidR="001C3117" w:rsidRPr="001C3117" w:rsidRDefault="001C3117" w:rsidP="001C3117">
            <w:pPr>
              <w:numPr>
                <w:ilvl w:val="0"/>
                <w:numId w:val="2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bij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eergerelateerd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geweld en vrouwelijke genitale verminking wordt direct contact opgenomen met deskundige van Veilig Thuis/politie</w:t>
            </w:r>
          </w:p>
          <w:p w:rsidR="001C3117" w:rsidRPr="001C3117" w:rsidRDefault="001C3117" w:rsidP="001C3117">
            <w:pPr>
              <w:numPr>
                <w:ilvl w:val="0"/>
                <w:numId w:val="2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registreert de gesprekken in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Parnassys</w:t>
            </w:r>
            <w:proofErr w:type="spellEnd"/>
          </w:p>
          <w:p w:rsidR="001C3117" w:rsidRPr="001C3117" w:rsidRDefault="001C3117" w:rsidP="001C3117">
            <w:p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</w:p>
        </w:tc>
      </w:tr>
      <w:tr w:rsidR="001C3117" w:rsidRPr="001C3117" w:rsidTr="00483665">
        <w:tc>
          <w:tcPr>
            <w:tcW w:w="2344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>Stap 3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In gesprek met betrokkenen 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</w:p>
        </w:tc>
        <w:tc>
          <w:tcPr>
            <w:tcW w:w="6440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>Stap 3: In gesprek met ouders en met het kind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i/>
                <w:color w:val="404040"/>
              </w:rPr>
            </w:pPr>
            <w:r w:rsidRPr="001C3117">
              <w:rPr>
                <w:rFonts w:eastAsia="Calibri" w:cs="Times New Roman"/>
                <w:i/>
                <w:color w:val="404040"/>
              </w:rPr>
              <w:t>De aandachtsfunctionaris:</w:t>
            </w:r>
          </w:p>
          <w:p w:rsidR="001C3117" w:rsidRPr="001C3117" w:rsidRDefault="001C3117" w:rsidP="001C3117">
            <w:pPr>
              <w:numPr>
                <w:ilvl w:val="0"/>
                <w:numId w:val="4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deelt de zorgen met de ouders en het kind</w:t>
            </w:r>
          </w:p>
          <w:p w:rsidR="001C3117" w:rsidRPr="001C3117" w:rsidRDefault="001C3117" w:rsidP="001C3117">
            <w:pPr>
              <w:numPr>
                <w:ilvl w:val="0"/>
                <w:numId w:val="4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deelt de zorg met de andere (wettelijke) betrokkene(n) </w:t>
            </w:r>
          </w:p>
          <w:p w:rsidR="001C3117" w:rsidRPr="001C3117" w:rsidRDefault="001C3117" w:rsidP="001C3117">
            <w:pPr>
              <w:numPr>
                <w:ilvl w:val="0"/>
                <w:numId w:val="4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registreert in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Parnassys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de gesprekken </w:t>
            </w:r>
            <w:r w:rsidRPr="001C3117">
              <w:rPr>
                <w:rFonts w:eastAsia="Calibri" w:cs="Times New Roman"/>
                <w:color w:val="404040"/>
              </w:rPr>
              <w:br/>
            </w:r>
          </w:p>
        </w:tc>
      </w:tr>
      <w:tr w:rsidR="001C3117" w:rsidRPr="001C3117" w:rsidTr="00483665">
        <w:tc>
          <w:tcPr>
            <w:tcW w:w="2344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lastRenderedPageBreak/>
              <w:t>Stap 4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Wegen van aard en ernst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</w:p>
        </w:tc>
        <w:tc>
          <w:tcPr>
            <w:tcW w:w="6440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 xml:space="preserve">Stap 4: Wegen van aard en ernst van het geweld of de verwaarlozing 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i/>
                <w:color w:val="404040"/>
              </w:rPr>
            </w:pPr>
            <w:r w:rsidRPr="001C3117">
              <w:rPr>
                <w:rFonts w:eastAsia="Calibri" w:cs="Times New Roman"/>
                <w:i/>
                <w:color w:val="404040"/>
              </w:rPr>
              <w:t>De aandachtsfunctionaris:</w:t>
            </w:r>
          </w:p>
          <w:p w:rsidR="001C3117" w:rsidRPr="001C3117" w:rsidRDefault="001C3117" w:rsidP="001C3117">
            <w:pPr>
              <w:numPr>
                <w:ilvl w:val="0"/>
                <w:numId w:val="5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weegt de aard en ernst van de situatie</w:t>
            </w:r>
          </w:p>
          <w:p w:rsidR="001C3117" w:rsidRPr="001C3117" w:rsidRDefault="001C3117" w:rsidP="001C3117">
            <w:pPr>
              <w:numPr>
                <w:ilvl w:val="0"/>
                <w:numId w:val="5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gebruikt het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wegingsformulier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als taxatie-instrument</w:t>
            </w:r>
          </w:p>
          <w:p w:rsidR="001C3117" w:rsidRPr="001C3117" w:rsidRDefault="001C3117" w:rsidP="001C3117">
            <w:pPr>
              <w:numPr>
                <w:ilvl w:val="0"/>
                <w:numId w:val="5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gebruikt het afwegingskader meldcode onderwijs en leerplicht</w:t>
            </w:r>
          </w:p>
          <w:p w:rsidR="001C3117" w:rsidRPr="001C3117" w:rsidRDefault="001C3117" w:rsidP="001C3117">
            <w:pPr>
              <w:numPr>
                <w:ilvl w:val="0"/>
                <w:numId w:val="5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bij twijfel wordt altijd Veilig Thuis 0800-2000 anoniem geraadpleegd</w:t>
            </w:r>
          </w:p>
          <w:p w:rsidR="001C3117" w:rsidRPr="001C3117" w:rsidRDefault="001C3117" w:rsidP="001C3117">
            <w:pPr>
              <w:numPr>
                <w:ilvl w:val="0"/>
                <w:numId w:val="5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registreert in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Parnassys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de gesprekken</w:t>
            </w:r>
          </w:p>
          <w:p w:rsidR="001C3117" w:rsidRPr="001C3117" w:rsidRDefault="001C3117" w:rsidP="001C3117">
            <w:pPr>
              <w:numPr>
                <w:ilvl w:val="0"/>
                <w:numId w:val="5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De formulieren die worden ingevuld, staan in de map van het desbetreffende kind en worden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geüpload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in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Parnassys</w:t>
            </w:r>
            <w:proofErr w:type="spellEnd"/>
          </w:p>
          <w:p w:rsidR="001C3117" w:rsidRPr="001C3117" w:rsidRDefault="001C3117" w:rsidP="001C3117">
            <w:pPr>
              <w:spacing w:before="120" w:line="280" w:lineRule="atLeast"/>
              <w:ind w:left="720"/>
              <w:contextualSpacing/>
              <w:rPr>
                <w:rFonts w:eastAsia="Calibri" w:cs="Times New Roman"/>
                <w:color w:val="404040"/>
              </w:rPr>
            </w:pPr>
          </w:p>
        </w:tc>
      </w:tr>
      <w:tr w:rsidR="001C3117" w:rsidRPr="001C3117" w:rsidTr="00483665">
        <w:tc>
          <w:tcPr>
            <w:tcW w:w="2344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>Stap 5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Beslissen a,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d.h.v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. het afwegingskader </w:t>
            </w:r>
          </w:p>
          <w:p w:rsidR="001C3117" w:rsidRPr="001C3117" w:rsidRDefault="001C3117" w:rsidP="001C3117">
            <w:pPr>
              <w:spacing w:line="280" w:lineRule="atLeast"/>
              <w:ind w:left="360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 </w:t>
            </w:r>
          </w:p>
        </w:tc>
        <w:tc>
          <w:tcPr>
            <w:tcW w:w="6440" w:type="dxa"/>
          </w:tcPr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>Stap 5: Beslissen a,</w:t>
            </w:r>
            <w:proofErr w:type="spellStart"/>
            <w:r w:rsidRPr="001C3117">
              <w:rPr>
                <w:rFonts w:eastAsia="Calibri" w:cs="Times New Roman"/>
                <w:b/>
                <w:color w:val="404040"/>
              </w:rPr>
              <w:t>d.h.v</w:t>
            </w:r>
            <w:proofErr w:type="spellEnd"/>
            <w:r w:rsidRPr="001C3117">
              <w:rPr>
                <w:rFonts w:eastAsia="Calibri" w:cs="Times New Roman"/>
                <w:b/>
                <w:color w:val="404040"/>
              </w:rPr>
              <w:t>. het afwegingskader</w:t>
            </w:r>
          </w:p>
          <w:p w:rsidR="001C3117" w:rsidRPr="001C3117" w:rsidRDefault="001C3117" w:rsidP="001C3117">
            <w:pPr>
              <w:spacing w:line="280" w:lineRule="atLeast"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i/>
                <w:color w:val="404040"/>
              </w:rPr>
              <w:t xml:space="preserve">De aandachtsfunctionaris </w:t>
            </w:r>
            <w:r w:rsidRPr="001C3117">
              <w:rPr>
                <w:rFonts w:eastAsia="Calibri" w:cs="Times New Roman"/>
                <w:color w:val="404040"/>
              </w:rPr>
              <w:t>neemt de volgende beslissingen:</w:t>
            </w:r>
          </w:p>
          <w:p w:rsidR="001C3117" w:rsidRPr="001C3117" w:rsidRDefault="001C3117" w:rsidP="001C3117">
            <w:pPr>
              <w:numPr>
                <w:ilvl w:val="0"/>
                <w:numId w:val="9"/>
              </w:numPr>
              <w:spacing w:before="120" w:line="280" w:lineRule="atLeast"/>
              <w:contextualSpacing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>Beslissing 1: Is melden noodzakelijk?</w:t>
            </w:r>
          </w:p>
          <w:p w:rsidR="001C3117" w:rsidRPr="001C3117" w:rsidRDefault="001C3117" w:rsidP="001C3117">
            <w:pPr>
              <w:spacing w:line="280" w:lineRule="atLeast"/>
              <w:ind w:left="360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(Bij acuut- of structureel geweld,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disclosure</w:t>
            </w:r>
            <w:proofErr w:type="spellEnd"/>
            <w:r w:rsidRPr="001C3117">
              <w:rPr>
                <w:rFonts w:eastAsia="Calibri" w:cs="Times New Roman"/>
                <w:color w:val="404040"/>
              </w:rPr>
              <w:t xml:space="preserve"> of onduidelijkheid is melden bij Veilig Thuis noodzakelijk)</w:t>
            </w:r>
          </w:p>
          <w:p w:rsidR="001C3117" w:rsidRPr="001C3117" w:rsidRDefault="001C3117" w:rsidP="001C3117">
            <w:pPr>
              <w:numPr>
                <w:ilvl w:val="0"/>
                <w:numId w:val="8"/>
              </w:numPr>
              <w:spacing w:before="120" w:line="280" w:lineRule="atLeast"/>
              <w:contextualSpacing/>
              <w:rPr>
                <w:rFonts w:eastAsia="Calibri" w:cs="Times New Roman"/>
                <w:b/>
                <w:color w:val="404040"/>
              </w:rPr>
            </w:pPr>
            <w:r w:rsidRPr="001C3117">
              <w:rPr>
                <w:rFonts w:eastAsia="Calibri" w:cs="Times New Roman"/>
                <w:b/>
                <w:color w:val="404040"/>
              </w:rPr>
              <w:t xml:space="preserve">Beslissing 2: is hulp bieden/organiseren (ook) mogelijk? </w:t>
            </w:r>
          </w:p>
          <w:p w:rsidR="001C3117" w:rsidRPr="001C3117" w:rsidRDefault="001C3117" w:rsidP="001C3117">
            <w:pPr>
              <w:spacing w:line="280" w:lineRule="atLeast"/>
              <w:ind w:left="360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>(Bij een ja in beslissing 1: Is afstemming van de hulp met Veilig Thuis noodzakelijk).</w:t>
            </w:r>
          </w:p>
          <w:p w:rsidR="001C3117" w:rsidRPr="001C3117" w:rsidRDefault="001C3117" w:rsidP="001C3117">
            <w:pPr>
              <w:spacing w:line="280" w:lineRule="atLeast"/>
              <w:ind w:left="360"/>
              <w:contextualSpacing/>
              <w:rPr>
                <w:rFonts w:eastAsia="Calibri" w:cs="Times New Roman"/>
                <w:color w:val="404040"/>
              </w:rPr>
            </w:pPr>
          </w:p>
          <w:p w:rsidR="001C3117" w:rsidRPr="001C3117" w:rsidRDefault="001C3117" w:rsidP="001C3117">
            <w:pPr>
              <w:spacing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Na beslissing 1 en 2, is het de verantwoordelijkheid van de </w:t>
            </w:r>
            <w:r w:rsidRPr="001C3117">
              <w:rPr>
                <w:rFonts w:eastAsia="Calibri" w:cs="Times New Roman"/>
                <w:i/>
                <w:color w:val="404040"/>
              </w:rPr>
              <w:t>aandachtsfunctionaris</w:t>
            </w:r>
            <w:r w:rsidRPr="001C3117">
              <w:rPr>
                <w:rFonts w:eastAsia="Calibri" w:cs="Times New Roman"/>
                <w:color w:val="404040"/>
              </w:rPr>
              <w:t xml:space="preserve"> om: </w:t>
            </w:r>
          </w:p>
          <w:p w:rsidR="001C3117" w:rsidRPr="001C3117" w:rsidRDefault="001C3117" w:rsidP="001C3117">
            <w:pPr>
              <w:numPr>
                <w:ilvl w:val="0"/>
                <w:numId w:val="6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hulp te organiseren indien melden niet noodzakelijk is en de betrokkenen meewerken aan de (te organiseren) hulp. Hierbij wordt gezorgd voor een warme overdracht. </w:t>
            </w:r>
          </w:p>
          <w:p w:rsidR="001C3117" w:rsidRPr="001C3117" w:rsidRDefault="001C3117" w:rsidP="001C3117">
            <w:pPr>
              <w:numPr>
                <w:ilvl w:val="0"/>
                <w:numId w:val="6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te monitoren of de gegeven hulp afdoende is door in contact te blijven met de oudere en de (wettelijke) betrokkene(n) </w:t>
            </w:r>
          </w:p>
          <w:p w:rsidR="001C3117" w:rsidRPr="001C3117" w:rsidRDefault="001C3117" w:rsidP="001C3117">
            <w:pPr>
              <w:numPr>
                <w:ilvl w:val="0"/>
                <w:numId w:val="6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bij aanhoudende zorgen opnieuw in overleg met betrokkenen, hulpverlening en/of Veilig Thuis te gaan of alsnog/weer een melding te doen </w:t>
            </w:r>
          </w:p>
          <w:p w:rsidR="001C3117" w:rsidRPr="001C3117" w:rsidRDefault="001C3117" w:rsidP="001C3117">
            <w:pPr>
              <w:numPr>
                <w:ilvl w:val="0"/>
                <w:numId w:val="6"/>
              </w:numPr>
              <w:spacing w:before="120" w:line="280" w:lineRule="atLeast"/>
              <w:contextualSpacing/>
              <w:rPr>
                <w:rFonts w:eastAsia="Calibri" w:cs="Times New Roman"/>
                <w:color w:val="404040"/>
              </w:rPr>
            </w:pPr>
            <w:r w:rsidRPr="001C3117">
              <w:rPr>
                <w:rFonts w:eastAsia="Calibri" w:cs="Times New Roman"/>
                <w:color w:val="404040"/>
              </w:rPr>
              <w:t xml:space="preserve">te registreren in </w:t>
            </w:r>
            <w:proofErr w:type="spellStart"/>
            <w:r w:rsidRPr="001C3117">
              <w:rPr>
                <w:rFonts w:eastAsia="Calibri" w:cs="Times New Roman"/>
                <w:color w:val="404040"/>
              </w:rPr>
              <w:t>Parnassys</w:t>
            </w:r>
            <w:proofErr w:type="spellEnd"/>
          </w:p>
          <w:p w:rsidR="001C3117" w:rsidRPr="001C3117" w:rsidRDefault="001C3117" w:rsidP="001C3117">
            <w:pPr>
              <w:spacing w:before="120" w:line="280" w:lineRule="atLeast"/>
              <w:ind w:left="360"/>
              <w:contextualSpacing/>
              <w:rPr>
                <w:rFonts w:eastAsia="Calibri" w:cs="Times New Roman"/>
                <w:color w:val="404040"/>
              </w:rPr>
            </w:pPr>
          </w:p>
        </w:tc>
      </w:tr>
    </w:tbl>
    <w:p w:rsidR="003C0B58" w:rsidRDefault="003C0B58" w:rsidP="001C3117">
      <w:pPr>
        <w:pStyle w:val="Kop2"/>
      </w:pPr>
    </w:p>
    <w:sectPr w:rsidR="003C0B58" w:rsidSect="009109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56" w:rsidRDefault="006A0556" w:rsidP="001C3117">
      <w:pPr>
        <w:spacing w:after="0" w:line="240" w:lineRule="auto"/>
      </w:pPr>
      <w:r>
        <w:separator/>
      </w:r>
    </w:p>
  </w:endnote>
  <w:endnote w:type="continuationSeparator" w:id="0">
    <w:p w:rsidR="006A0556" w:rsidRDefault="006A0556" w:rsidP="001C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56" w:rsidRDefault="006A0556" w:rsidP="001C3117">
      <w:pPr>
        <w:spacing w:after="0" w:line="240" w:lineRule="auto"/>
      </w:pPr>
      <w:r>
        <w:separator/>
      </w:r>
    </w:p>
  </w:footnote>
  <w:footnote w:type="continuationSeparator" w:id="0">
    <w:p w:rsidR="006A0556" w:rsidRDefault="006A0556" w:rsidP="001C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17" w:rsidRDefault="001C1681">
    <w:pPr>
      <w:pStyle w:val="Koptekst"/>
    </w:pPr>
    <w:r>
      <w:rPr>
        <w:noProof/>
        <w:lang w:eastAsia="nl-NL"/>
      </w:rPr>
      <w:drawing>
        <wp:inline distT="0" distB="0" distL="0" distR="0">
          <wp:extent cx="1524000" cy="571500"/>
          <wp:effectExtent l="19050" t="0" r="0" b="0"/>
          <wp:docPr id="2" name="Afbeelding 1" descr="thumbnail_Outlook-p4meabe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Outlook-p4meabe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3117" w:rsidRDefault="001C311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322"/>
    <w:multiLevelType w:val="hybridMultilevel"/>
    <w:tmpl w:val="E35A9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7BCF"/>
    <w:multiLevelType w:val="hybridMultilevel"/>
    <w:tmpl w:val="0DE68D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194C20"/>
    <w:multiLevelType w:val="hybridMultilevel"/>
    <w:tmpl w:val="AAD8CE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F6569"/>
    <w:multiLevelType w:val="hybridMultilevel"/>
    <w:tmpl w:val="C6067B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B5083"/>
    <w:multiLevelType w:val="hybridMultilevel"/>
    <w:tmpl w:val="D86058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513857"/>
    <w:multiLevelType w:val="hybridMultilevel"/>
    <w:tmpl w:val="877E7A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43EF6"/>
    <w:multiLevelType w:val="hybridMultilevel"/>
    <w:tmpl w:val="41B077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9842C7"/>
    <w:multiLevelType w:val="hybridMultilevel"/>
    <w:tmpl w:val="39FA81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60788F"/>
    <w:multiLevelType w:val="hybridMultilevel"/>
    <w:tmpl w:val="C9600D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C3117"/>
    <w:rsid w:val="001C1681"/>
    <w:rsid w:val="001C3117"/>
    <w:rsid w:val="00337B90"/>
    <w:rsid w:val="003C0B58"/>
    <w:rsid w:val="004B48C1"/>
    <w:rsid w:val="006A0556"/>
    <w:rsid w:val="00773E48"/>
    <w:rsid w:val="0091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095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3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1">
    <w:name w:val="Table Grid1"/>
    <w:basedOn w:val="Standaardtabel"/>
    <w:next w:val="Tabelraster"/>
    <w:uiPriority w:val="39"/>
    <w:rsid w:val="001C3117"/>
    <w:pPr>
      <w:spacing w:after="0" w:line="240" w:lineRule="auto"/>
    </w:pPr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1C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1C3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C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117"/>
  </w:style>
  <w:style w:type="paragraph" w:styleId="Voettekst">
    <w:name w:val="footer"/>
    <w:basedOn w:val="Standaard"/>
    <w:link w:val="VoettekstChar"/>
    <w:uiPriority w:val="99"/>
    <w:unhideWhenUsed/>
    <w:rsid w:val="001C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117"/>
  </w:style>
  <w:style w:type="paragraph" w:styleId="Ballontekst">
    <w:name w:val="Balloon Text"/>
    <w:basedOn w:val="Standaard"/>
    <w:link w:val="BallontekstChar"/>
    <w:uiPriority w:val="99"/>
    <w:semiHidden/>
    <w:unhideWhenUsed/>
    <w:rsid w:val="0077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39DBD3F749143ADD840CCD01DBE63" ma:contentTypeVersion="4" ma:contentTypeDescription="Een nieuw document maken." ma:contentTypeScope="" ma:versionID="193a39d6135a19f5223670e571a607c3">
  <xsd:schema xmlns:xsd="http://www.w3.org/2001/XMLSchema" xmlns:xs="http://www.w3.org/2001/XMLSchema" xmlns:p="http://schemas.microsoft.com/office/2006/metadata/properties" xmlns:ns2="bc18ea5b-8e75-4b85-80bd-70581aa51f74" xmlns:ns3="d98a47fd-0b27-4bc4-8696-2679631c0fc9" targetNamespace="http://schemas.microsoft.com/office/2006/metadata/properties" ma:root="true" ma:fieldsID="4fd5ef6cd2dad724fb4b82e2096f6042" ns2:_="" ns3:_="">
    <xsd:import namespace="bc18ea5b-8e75-4b85-80bd-70581aa51f74"/>
    <xsd:import namespace="d98a47fd-0b27-4bc4-8696-2679631c0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8ea5b-8e75-4b85-80bd-70581aa51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a47fd-0b27-4bc4-8696-2679631c0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C6336-AD89-48A2-8BD5-245BDB1AB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8ea5b-8e75-4b85-80bd-70581aa51f74"/>
    <ds:schemaRef ds:uri="d98a47fd-0b27-4bc4-8696-2679631c0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99BE2-CA51-4B6C-AA59-FC80E8C92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09E50-D55A-408D-A6A7-F3FCE3781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Mosterd</dc:creator>
  <cp:lastModifiedBy>acer</cp:lastModifiedBy>
  <cp:revision>2</cp:revision>
  <dcterms:created xsi:type="dcterms:W3CDTF">2022-08-29T10:09:00Z</dcterms:created>
  <dcterms:modified xsi:type="dcterms:W3CDTF">2022-08-29T10:09:00Z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0x010100FA939DBD3F749143ADD840CCD01DBE63</vt:lpwstr>
  </property>
</Properties>
</file>