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D9" w:rsidRDefault="0041200D" w:rsidP="00A07844">
      <w:pPr>
        <w:pStyle w:val="Geenafstand"/>
        <w:rPr>
          <w:b/>
          <w:sz w:val="24"/>
          <w:szCs w:val="24"/>
        </w:rPr>
      </w:pPr>
      <w:r>
        <w:rPr>
          <w:b/>
          <w:sz w:val="24"/>
          <w:szCs w:val="24"/>
        </w:rPr>
        <w:t>S</w:t>
      </w:r>
      <w:r w:rsidR="00A07844">
        <w:rPr>
          <w:b/>
          <w:sz w:val="24"/>
          <w:szCs w:val="24"/>
        </w:rPr>
        <w:t xml:space="preserve">chooleigen normen </w:t>
      </w:r>
      <w:r>
        <w:rPr>
          <w:b/>
          <w:sz w:val="24"/>
          <w:szCs w:val="24"/>
        </w:rPr>
        <w:t xml:space="preserve">OBS </w:t>
      </w:r>
      <w:proofErr w:type="spellStart"/>
      <w:r>
        <w:rPr>
          <w:b/>
          <w:sz w:val="24"/>
          <w:szCs w:val="24"/>
        </w:rPr>
        <w:t>Pantarijn</w:t>
      </w:r>
      <w:bookmarkStart w:id="0" w:name="_GoBack"/>
      <w:bookmarkEnd w:id="0"/>
      <w:proofErr w:type="spellEnd"/>
    </w:p>
    <w:p w:rsidR="00770EC5" w:rsidRDefault="00770EC5" w:rsidP="00A07844">
      <w:pPr>
        <w:pStyle w:val="Geenafstand"/>
        <w:rPr>
          <w:b/>
          <w:sz w:val="24"/>
          <w:szCs w:val="24"/>
        </w:rPr>
      </w:pPr>
    </w:p>
    <w:p w:rsidR="00770EC5" w:rsidRDefault="00442161" w:rsidP="00770EC5">
      <w:pPr>
        <w:pStyle w:val="Geenafstand"/>
        <w:rPr>
          <w:u w:val="single"/>
        </w:rPr>
      </w:pPr>
      <w:r>
        <w:rPr>
          <w:u w:val="single"/>
        </w:rPr>
        <w:t>Toelichting</w:t>
      </w:r>
      <w:r w:rsidR="00770EC5">
        <w:rPr>
          <w:u w:val="single"/>
        </w:rPr>
        <w:t xml:space="preserve"> </w:t>
      </w:r>
    </w:p>
    <w:p w:rsidR="00770EC5" w:rsidRDefault="00770EC5" w:rsidP="00770EC5">
      <w:pPr>
        <w:pStyle w:val="Geenafstand"/>
      </w:pPr>
      <w:r>
        <w:t>Het CBS bepaalt jaarlijks de schoolweging en het spreidingsgetal van de scholen. De schoolweging (tussen circa 20 en circa 40) wordt bepaald op basis van vijf (</w:t>
      </w:r>
      <w:proofErr w:type="spellStart"/>
      <w:r>
        <w:t>gezins</w:t>
      </w:r>
      <w:proofErr w:type="spellEnd"/>
      <w:r>
        <w:t xml:space="preserve">)factoren: </w:t>
      </w:r>
    </w:p>
    <w:p w:rsidR="00770EC5" w:rsidRDefault="00770EC5" w:rsidP="00770EC5">
      <w:pPr>
        <w:pStyle w:val="Geenafstand"/>
      </w:pPr>
      <w:r w:rsidRPr="00770EC5">
        <w:t xml:space="preserve">1. het opleidingsniveau van zowel de moeder als de vader </w:t>
      </w:r>
    </w:p>
    <w:p w:rsidR="00770EC5" w:rsidRDefault="00770EC5" w:rsidP="00770EC5">
      <w:pPr>
        <w:pStyle w:val="Geenafstand"/>
      </w:pPr>
      <w:r w:rsidRPr="00770EC5">
        <w:t xml:space="preserve">2. de herkomst van ouders </w:t>
      </w:r>
    </w:p>
    <w:p w:rsidR="00770EC5" w:rsidRDefault="00770EC5" w:rsidP="00770EC5">
      <w:pPr>
        <w:pStyle w:val="Geenafstand"/>
      </w:pPr>
      <w:r w:rsidRPr="00770EC5">
        <w:t xml:space="preserve">3. of ouders in de schuldsanering zitten </w:t>
      </w:r>
    </w:p>
    <w:p w:rsidR="00770EC5" w:rsidRDefault="00770EC5" w:rsidP="00770EC5">
      <w:pPr>
        <w:pStyle w:val="Geenafstand"/>
      </w:pPr>
      <w:r w:rsidRPr="00770EC5">
        <w:t xml:space="preserve">4. de verblijfsduur van de moeder in Nederland </w:t>
      </w:r>
    </w:p>
    <w:p w:rsidR="00770EC5" w:rsidRDefault="00770EC5" w:rsidP="00770EC5">
      <w:pPr>
        <w:pStyle w:val="Geenafstand"/>
      </w:pPr>
      <w:r w:rsidRPr="00770EC5">
        <w:t>5. het gemiddelde opleidingsniveau van moeders van de school.</w:t>
      </w:r>
    </w:p>
    <w:p w:rsidR="00770EC5" w:rsidRDefault="00770EC5" w:rsidP="00770EC5">
      <w:pPr>
        <w:pStyle w:val="Geenafstand"/>
      </w:pPr>
      <w:r>
        <w:t>Een lage schoolweging voorspelt hoge eindresultaten en veel stimulerende thuiskenmerken. Een hoge schoolweging voorspelt lage eindresultaten en veel belemmerende thuiskenmerken.</w:t>
      </w:r>
    </w:p>
    <w:p w:rsidR="00770EC5" w:rsidRDefault="00770EC5" w:rsidP="00770EC5">
      <w:pPr>
        <w:pStyle w:val="Geenafstand"/>
      </w:pPr>
      <w:r>
        <w:t>Het spreidingsgetal (tussen circa 3-9) geeft informatie over de uniformiteit van de leerlingenpopulatie gelet op de gezinskenmerken. Een lage score geeft aan dat de thuiskenmerken van de leerlingen van een school dicht bij elkaar liggen (homogeen) en een hoge score laat zien, dat de thuiskenmerken van de leerlingen zeer heterogeen zijn.</w:t>
      </w:r>
    </w:p>
    <w:p w:rsidR="00770EC5" w:rsidRDefault="00770EC5" w:rsidP="00770EC5">
      <w:pPr>
        <w:pStyle w:val="Geenafstand"/>
      </w:pPr>
    </w:p>
    <w:p w:rsidR="00770EC5" w:rsidRDefault="00770EC5" w:rsidP="00770EC5">
      <w:pPr>
        <w:pStyle w:val="Geenafstand"/>
      </w:pPr>
      <w:r>
        <w:t>In onderstaande tabel zijn de schoolweging en het spreidingsgeta</w:t>
      </w:r>
      <w:r w:rsidR="00AF4178">
        <w:t>l</w:t>
      </w:r>
      <w:r w:rsidR="0022069C">
        <w:t xml:space="preserve"> </w:t>
      </w:r>
      <w:r w:rsidR="0041200D">
        <w:t>weergegeven voor het jaar 2018.</w:t>
      </w:r>
    </w:p>
    <w:p w:rsidR="00AF4178" w:rsidRDefault="00AF4178" w:rsidP="00A07844">
      <w:pPr>
        <w:pStyle w:val="Geenafstand"/>
      </w:pPr>
    </w:p>
    <w:tbl>
      <w:tblPr>
        <w:tblStyle w:val="Tabelraster"/>
        <w:tblW w:w="0" w:type="auto"/>
        <w:tblLook w:val="04A0" w:firstRow="1" w:lastRow="0" w:firstColumn="1" w:lastColumn="0" w:noHBand="0" w:noVBand="1"/>
      </w:tblPr>
      <w:tblGrid>
        <w:gridCol w:w="473"/>
        <w:gridCol w:w="1832"/>
        <w:gridCol w:w="1127"/>
        <w:gridCol w:w="1127"/>
        <w:gridCol w:w="1127"/>
        <w:gridCol w:w="1127"/>
        <w:gridCol w:w="1127"/>
        <w:gridCol w:w="1127"/>
      </w:tblGrid>
      <w:tr w:rsidR="006A28DE" w:rsidTr="006A28DE">
        <w:tc>
          <w:tcPr>
            <w:tcW w:w="468" w:type="dxa"/>
            <w:shd w:val="clear" w:color="auto" w:fill="808080" w:themeFill="background1" w:themeFillShade="80"/>
          </w:tcPr>
          <w:p w:rsidR="006A28DE" w:rsidRDefault="006A28DE" w:rsidP="00AF4178"/>
        </w:tc>
        <w:tc>
          <w:tcPr>
            <w:tcW w:w="1832" w:type="dxa"/>
            <w:shd w:val="clear" w:color="auto" w:fill="808080" w:themeFill="background1" w:themeFillShade="80"/>
          </w:tcPr>
          <w:p w:rsidR="006A28DE" w:rsidRDefault="006A28DE" w:rsidP="00AF4178"/>
          <w:p w:rsidR="006A28DE" w:rsidRDefault="006A28DE" w:rsidP="00AF4178"/>
        </w:tc>
        <w:tc>
          <w:tcPr>
            <w:tcW w:w="1127" w:type="dxa"/>
            <w:shd w:val="clear" w:color="auto" w:fill="808080" w:themeFill="background1" w:themeFillShade="80"/>
          </w:tcPr>
          <w:p w:rsidR="006A28DE" w:rsidRDefault="006A28DE" w:rsidP="00AF4178"/>
        </w:tc>
        <w:tc>
          <w:tcPr>
            <w:tcW w:w="5635" w:type="dxa"/>
            <w:gridSpan w:val="5"/>
            <w:shd w:val="clear" w:color="auto" w:fill="808080" w:themeFill="background1" w:themeFillShade="80"/>
          </w:tcPr>
          <w:p w:rsidR="006A28DE" w:rsidRPr="006A28DE" w:rsidRDefault="006A28DE" w:rsidP="006A28DE">
            <w:pPr>
              <w:jc w:val="center"/>
              <w:rPr>
                <w:b/>
                <w:color w:val="FFFFFF" w:themeColor="background1"/>
                <w:sz w:val="20"/>
                <w:szCs w:val="20"/>
              </w:rPr>
            </w:pPr>
            <w:r w:rsidRPr="006A28DE">
              <w:rPr>
                <w:b/>
                <w:color w:val="FFFFFF" w:themeColor="background1"/>
                <w:sz w:val="20"/>
                <w:szCs w:val="20"/>
              </w:rPr>
              <w:t>Spreiding</w:t>
            </w:r>
          </w:p>
        </w:tc>
      </w:tr>
      <w:tr w:rsidR="006A28DE" w:rsidTr="00CD6959">
        <w:tc>
          <w:tcPr>
            <w:tcW w:w="468" w:type="dxa"/>
            <w:shd w:val="clear" w:color="auto" w:fill="808080" w:themeFill="background1" w:themeFillShade="80"/>
          </w:tcPr>
          <w:p w:rsidR="006A28DE" w:rsidRDefault="006A28DE" w:rsidP="00AF4178"/>
        </w:tc>
        <w:tc>
          <w:tcPr>
            <w:tcW w:w="1832" w:type="dxa"/>
            <w:shd w:val="clear" w:color="auto" w:fill="BFBFBF" w:themeFill="background1" w:themeFillShade="BF"/>
          </w:tcPr>
          <w:p w:rsidR="006A28DE" w:rsidRDefault="006A28DE" w:rsidP="00AF4178"/>
          <w:p w:rsidR="006A28DE" w:rsidRDefault="006A28DE" w:rsidP="00AF4178"/>
        </w:tc>
        <w:tc>
          <w:tcPr>
            <w:tcW w:w="1127" w:type="dxa"/>
            <w:shd w:val="clear" w:color="auto" w:fill="BFBFBF" w:themeFill="background1" w:themeFillShade="BF"/>
          </w:tcPr>
          <w:p w:rsidR="006A28DE" w:rsidRDefault="006A28DE" w:rsidP="00AF4178"/>
        </w:tc>
        <w:tc>
          <w:tcPr>
            <w:tcW w:w="2254" w:type="dxa"/>
            <w:gridSpan w:val="2"/>
            <w:shd w:val="clear" w:color="auto" w:fill="BFBFBF" w:themeFill="background1" w:themeFillShade="BF"/>
          </w:tcPr>
          <w:p w:rsidR="006A28DE" w:rsidRDefault="006A28DE" w:rsidP="006A28DE">
            <w:pPr>
              <w:jc w:val="right"/>
              <w:rPr>
                <w:sz w:val="20"/>
                <w:szCs w:val="20"/>
              </w:rPr>
            </w:pPr>
            <w:r>
              <w:rPr>
                <w:noProof/>
                <w:lang w:eastAsia="nl-NL"/>
              </w:rPr>
              <mc:AlternateContent>
                <mc:Choice Requires="wps">
                  <w:drawing>
                    <wp:anchor distT="0" distB="0" distL="114300" distR="114300" simplePos="0" relativeHeight="251669504" behindDoc="0" locked="0" layoutInCell="1" allowOverlap="1" wp14:anchorId="75887E04" wp14:editId="105760A2">
                      <wp:simplePos x="0" y="0"/>
                      <wp:positionH relativeFrom="column">
                        <wp:posOffset>5080</wp:posOffset>
                      </wp:positionH>
                      <wp:positionV relativeFrom="paragraph">
                        <wp:posOffset>119380</wp:posOffset>
                      </wp:positionV>
                      <wp:extent cx="200025" cy="0"/>
                      <wp:effectExtent l="38100" t="76200" r="0" b="95250"/>
                      <wp:wrapNone/>
                      <wp:docPr id="8" name="Rechte verbindingslijn met pijl 8"/>
                      <wp:cNvGraphicFramePr/>
                      <a:graphic xmlns:a="http://schemas.openxmlformats.org/drawingml/2006/main">
                        <a:graphicData uri="http://schemas.microsoft.com/office/word/2010/wordprocessingShape">
                          <wps:wsp>
                            <wps:cNvCnPr/>
                            <wps:spPr>
                              <a:xfrm flipH="1">
                                <a:off x="0" y="0"/>
                                <a:ext cx="20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F44C7C3" id="_x0000_t32" coordsize="21600,21600" o:spt="32" o:oned="t" path="m,l21600,21600e" filled="f">
                      <v:path arrowok="t" fillok="f" o:connecttype="none"/>
                      <o:lock v:ext="edit" shapetype="t"/>
                    </v:shapetype>
                    <v:shape id="Rechte verbindingslijn met pijl 8" o:spid="_x0000_s1026" type="#_x0000_t32" style="position:absolute;margin-left:.4pt;margin-top:9.4pt;width:15.7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" strokecolor="black [3040]">
                      <v:stroke endarrow="block"/>
                    </v:shape>
                  </w:pict>
                </mc:Fallback>
              </mc:AlternateContent>
            </w:r>
            <w:r>
              <w:rPr>
                <w:sz w:val="20"/>
                <w:szCs w:val="20"/>
              </w:rPr>
              <w:t xml:space="preserve">     Homogene groep</w:t>
            </w:r>
          </w:p>
          <w:p w:rsidR="006A28DE" w:rsidRPr="006A28DE" w:rsidRDefault="006A28DE" w:rsidP="006A28DE">
            <w:pPr>
              <w:jc w:val="right"/>
              <w:rPr>
                <w:sz w:val="20"/>
                <w:szCs w:val="20"/>
              </w:rPr>
            </w:pPr>
            <w:r>
              <w:rPr>
                <w:sz w:val="20"/>
                <w:szCs w:val="20"/>
              </w:rPr>
              <w:t xml:space="preserve">Minimaal differentiëren </w:t>
            </w:r>
          </w:p>
        </w:tc>
        <w:tc>
          <w:tcPr>
            <w:tcW w:w="1127" w:type="dxa"/>
            <w:shd w:val="clear" w:color="auto" w:fill="BFBFBF" w:themeFill="background1" w:themeFillShade="BF"/>
          </w:tcPr>
          <w:p w:rsidR="006A28DE" w:rsidRDefault="006A28DE" w:rsidP="00AF4178"/>
        </w:tc>
        <w:tc>
          <w:tcPr>
            <w:tcW w:w="2254" w:type="dxa"/>
            <w:gridSpan w:val="2"/>
            <w:shd w:val="clear" w:color="auto" w:fill="BFBFBF" w:themeFill="background1" w:themeFillShade="BF"/>
          </w:tcPr>
          <w:p w:rsidR="006A28DE" w:rsidRDefault="006A28DE" w:rsidP="00AF4178">
            <w:pPr>
              <w:rPr>
                <w:sz w:val="20"/>
                <w:szCs w:val="20"/>
              </w:rPr>
            </w:pPr>
            <w:r>
              <w:rPr>
                <w:noProof/>
                <w:sz w:val="20"/>
                <w:szCs w:val="20"/>
                <w:lang w:eastAsia="nl-NL"/>
              </w:rPr>
              <mc:AlternateContent>
                <mc:Choice Requires="wps">
                  <w:drawing>
                    <wp:anchor distT="0" distB="0" distL="114300" distR="114300" simplePos="0" relativeHeight="251670528" behindDoc="0" locked="0" layoutInCell="1" allowOverlap="1">
                      <wp:simplePos x="0" y="0"/>
                      <wp:positionH relativeFrom="column">
                        <wp:posOffset>1077595</wp:posOffset>
                      </wp:positionH>
                      <wp:positionV relativeFrom="paragraph">
                        <wp:posOffset>119380</wp:posOffset>
                      </wp:positionV>
                      <wp:extent cx="219075" cy="0"/>
                      <wp:effectExtent l="0" t="76200" r="9525" b="95250"/>
                      <wp:wrapNone/>
                      <wp:docPr id="10" name="Rechte verbindingslijn met pijl 10"/>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BF00B6" id="Rechte verbindingslijn met pijl 10" o:spid="_x0000_s1026" type="#_x0000_t32" style="position:absolute;margin-left:84.85pt;margin-top:9.4pt;width:17.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" strokecolor="black [3040]">
                      <v:stroke endarrow="block"/>
                    </v:shape>
                  </w:pict>
                </mc:Fallback>
              </mc:AlternateContent>
            </w:r>
            <w:proofErr w:type="spellStart"/>
            <w:r>
              <w:rPr>
                <w:sz w:val="20"/>
                <w:szCs w:val="20"/>
              </w:rPr>
              <w:t>Hetrogene</w:t>
            </w:r>
            <w:proofErr w:type="spellEnd"/>
            <w:r>
              <w:rPr>
                <w:sz w:val="20"/>
                <w:szCs w:val="20"/>
              </w:rPr>
              <w:t xml:space="preserve"> groep </w:t>
            </w:r>
          </w:p>
          <w:p w:rsidR="006A28DE" w:rsidRPr="006A28DE" w:rsidRDefault="006A28DE" w:rsidP="00AF4178">
            <w:pPr>
              <w:rPr>
                <w:sz w:val="20"/>
                <w:szCs w:val="20"/>
              </w:rPr>
            </w:pPr>
            <w:r>
              <w:rPr>
                <w:sz w:val="20"/>
                <w:szCs w:val="20"/>
              </w:rPr>
              <w:t xml:space="preserve">Maximaal differentiëren </w:t>
            </w:r>
          </w:p>
        </w:tc>
      </w:tr>
      <w:tr w:rsidR="0022069C" w:rsidTr="00CD6959">
        <w:tc>
          <w:tcPr>
            <w:tcW w:w="468" w:type="dxa"/>
            <w:shd w:val="clear" w:color="auto" w:fill="808080" w:themeFill="background1" w:themeFillShade="80"/>
          </w:tcPr>
          <w:p w:rsidR="0022069C" w:rsidRDefault="0022069C" w:rsidP="00AF4178"/>
        </w:tc>
        <w:tc>
          <w:tcPr>
            <w:tcW w:w="1832" w:type="dxa"/>
            <w:shd w:val="clear" w:color="auto" w:fill="BFBFBF" w:themeFill="background1" w:themeFillShade="BF"/>
          </w:tcPr>
          <w:p w:rsidR="0022069C" w:rsidRDefault="0022069C" w:rsidP="00AF4178"/>
          <w:p w:rsidR="006A28DE" w:rsidRDefault="006A28DE" w:rsidP="00AF4178"/>
        </w:tc>
        <w:tc>
          <w:tcPr>
            <w:tcW w:w="1127" w:type="dxa"/>
            <w:shd w:val="clear" w:color="auto" w:fill="BFBFBF" w:themeFill="background1" w:themeFillShade="BF"/>
          </w:tcPr>
          <w:p w:rsidR="0022069C" w:rsidRPr="00CD6959" w:rsidRDefault="0022069C" w:rsidP="00AF4178">
            <w:pPr>
              <w:rPr>
                <w:sz w:val="20"/>
                <w:szCs w:val="20"/>
              </w:rPr>
            </w:pPr>
          </w:p>
        </w:tc>
        <w:tc>
          <w:tcPr>
            <w:tcW w:w="1127" w:type="dxa"/>
            <w:shd w:val="clear" w:color="auto" w:fill="BFBFBF" w:themeFill="background1" w:themeFillShade="BF"/>
          </w:tcPr>
          <w:p w:rsidR="0022069C" w:rsidRPr="00CD6959" w:rsidRDefault="00CD6959" w:rsidP="00AF4178">
            <w:pPr>
              <w:rPr>
                <w:sz w:val="20"/>
                <w:szCs w:val="20"/>
              </w:rPr>
            </w:pPr>
            <w:r>
              <w:rPr>
                <w:sz w:val="20"/>
                <w:szCs w:val="20"/>
              </w:rPr>
              <w:t>3-4</w:t>
            </w:r>
          </w:p>
        </w:tc>
        <w:tc>
          <w:tcPr>
            <w:tcW w:w="1127" w:type="dxa"/>
            <w:shd w:val="clear" w:color="auto" w:fill="BFBFBF" w:themeFill="background1" w:themeFillShade="BF"/>
          </w:tcPr>
          <w:p w:rsidR="0022069C" w:rsidRPr="00CD6959" w:rsidRDefault="00CD6959" w:rsidP="00AF4178">
            <w:pPr>
              <w:rPr>
                <w:sz w:val="20"/>
                <w:szCs w:val="20"/>
              </w:rPr>
            </w:pPr>
            <w:r>
              <w:rPr>
                <w:sz w:val="20"/>
                <w:szCs w:val="20"/>
              </w:rPr>
              <w:t>4-5</w:t>
            </w:r>
          </w:p>
        </w:tc>
        <w:tc>
          <w:tcPr>
            <w:tcW w:w="1127" w:type="dxa"/>
            <w:shd w:val="clear" w:color="auto" w:fill="BFBFBF" w:themeFill="background1" w:themeFillShade="BF"/>
          </w:tcPr>
          <w:p w:rsidR="0022069C" w:rsidRPr="00CD6959" w:rsidRDefault="00CD6959" w:rsidP="00AF4178">
            <w:pPr>
              <w:rPr>
                <w:sz w:val="20"/>
                <w:szCs w:val="20"/>
              </w:rPr>
            </w:pPr>
            <w:r>
              <w:rPr>
                <w:sz w:val="20"/>
                <w:szCs w:val="20"/>
              </w:rPr>
              <w:t>5-7</w:t>
            </w:r>
          </w:p>
        </w:tc>
        <w:tc>
          <w:tcPr>
            <w:tcW w:w="1127" w:type="dxa"/>
            <w:shd w:val="clear" w:color="auto" w:fill="BFBFBF" w:themeFill="background1" w:themeFillShade="BF"/>
          </w:tcPr>
          <w:p w:rsidR="0022069C" w:rsidRPr="00CD6959" w:rsidRDefault="00CD6959" w:rsidP="00AF4178">
            <w:pPr>
              <w:rPr>
                <w:sz w:val="20"/>
                <w:szCs w:val="20"/>
              </w:rPr>
            </w:pPr>
            <w:r>
              <w:rPr>
                <w:sz w:val="20"/>
                <w:szCs w:val="20"/>
              </w:rPr>
              <w:t>7-8</w:t>
            </w:r>
          </w:p>
        </w:tc>
        <w:tc>
          <w:tcPr>
            <w:tcW w:w="1127" w:type="dxa"/>
            <w:shd w:val="clear" w:color="auto" w:fill="BFBFBF" w:themeFill="background1" w:themeFillShade="BF"/>
          </w:tcPr>
          <w:p w:rsidR="0022069C" w:rsidRPr="00CD6959" w:rsidRDefault="00CD6959" w:rsidP="00AF4178">
            <w:pPr>
              <w:rPr>
                <w:sz w:val="20"/>
                <w:szCs w:val="20"/>
              </w:rPr>
            </w:pPr>
            <w:r>
              <w:rPr>
                <w:sz w:val="20"/>
                <w:szCs w:val="20"/>
              </w:rPr>
              <w:t>8-9</w:t>
            </w:r>
          </w:p>
        </w:tc>
      </w:tr>
      <w:tr w:rsidR="00CD6959" w:rsidTr="00CD6959">
        <w:tc>
          <w:tcPr>
            <w:tcW w:w="468" w:type="dxa"/>
            <w:vMerge w:val="restart"/>
            <w:shd w:val="clear" w:color="auto" w:fill="808080" w:themeFill="background1" w:themeFillShade="80"/>
            <w:textDirection w:val="btLr"/>
          </w:tcPr>
          <w:p w:rsidR="00CD6959" w:rsidRPr="006A28DE" w:rsidRDefault="00CD6959" w:rsidP="006A28DE">
            <w:pPr>
              <w:ind w:left="113" w:right="113"/>
              <w:jc w:val="center"/>
              <w:rPr>
                <w:b/>
                <w:sz w:val="20"/>
                <w:szCs w:val="20"/>
              </w:rPr>
            </w:pPr>
            <w:r w:rsidRPr="006A28DE">
              <w:rPr>
                <w:b/>
                <w:color w:val="FFFFFF" w:themeColor="background1"/>
                <w:sz w:val="20"/>
                <w:szCs w:val="20"/>
              </w:rPr>
              <w:t>Schoolweging</w:t>
            </w:r>
          </w:p>
        </w:tc>
        <w:tc>
          <w:tcPr>
            <w:tcW w:w="1832" w:type="dxa"/>
            <w:vMerge w:val="restart"/>
            <w:shd w:val="clear" w:color="auto" w:fill="BFBFBF" w:themeFill="background1" w:themeFillShade="BF"/>
          </w:tcPr>
          <w:p w:rsidR="00CD6959" w:rsidRDefault="00CD6959" w:rsidP="006A28DE">
            <w:pPr>
              <w:rPr>
                <w:sz w:val="20"/>
                <w:szCs w:val="20"/>
              </w:rPr>
            </w:pPr>
            <w:r>
              <w:rPr>
                <w:noProof/>
                <w:sz w:val="20"/>
                <w:szCs w:val="20"/>
                <w:lang w:eastAsia="nl-NL"/>
              </w:rPr>
              <mc:AlternateContent>
                <mc:Choice Requires="wps">
                  <w:drawing>
                    <wp:anchor distT="0" distB="0" distL="114300" distR="114300" simplePos="0" relativeHeight="251673600" behindDoc="0" locked="0" layoutInCell="1" allowOverlap="1" wp14:anchorId="322B0DA1" wp14:editId="38B6962E">
                      <wp:simplePos x="0" y="0"/>
                      <wp:positionH relativeFrom="column">
                        <wp:posOffset>912495</wp:posOffset>
                      </wp:positionH>
                      <wp:positionV relativeFrom="paragraph">
                        <wp:posOffset>24765</wp:posOffset>
                      </wp:positionV>
                      <wp:extent cx="0" cy="190500"/>
                      <wp:effectExtent l="76200" t="38100" r="57150" b="19050"/>
                      <wp:wrapNone/>
                      <wp:docPr id="11" name="Rechte verbindingslijn met pijl 11"/>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E37026" id="Rechte verbindingslijn met pijl 11" o:spid="_x0000_s1026" type="#_x0000_t32" style="position:absolute;margin-left:71.85pt;margin-top:1.95pt;width:0;height: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" strokecolor="black [3040]">
                      <v:stroke endarrow="block"/>
                    </v:shape>
                  </w:pict>
                </mc:Fallback>
              </mc:AlternateContent>
            </w:r>
            <w:r>
              <w:rPr>
                <w:sz w:val="20"/>
                <w:szCs w:val="20"/>
              </w:rPr>
              <w:t>Voorspelt hoge</w:t>
            </w:r>
          </w:p>
          <w:p w:rsidR="00CD6959" w:rsidRPr="00CD6959" w:rsidRDefault="00CD6959" w:rsidP="006A28DE">
            <w:pPr>
              <w:rPr>
                <w:sz w:val="20"/>
                <w:szCs w:val="20"/>
              </w:rPr>
            </w:pPr>
            <w:r>
              <w:rPr>
                <w:sz w:val="20"/>
                <w:szCs w:val="20"/>
              </w:rPr>
              <w:t>resultaten</w:t>
            </w:r>
          </w:p>
          <w:p w:rsidR="00CD6959" w:rsidRDefault="00CD6959" w:rsidP="006A28DE"/>
          <w:p w:rsidR="00CD6959" w:rsidRDefault="00CD6959" w:rsidP="006A28DE"/>
        </w:tc>
        <w:tc>
          <w:tcPr>
            <w:tcW w:w="1127" w:type="dxa"/>
            <w:shd w:val="clear" w:color="auto" w:fill="BFBFBF" w:themeFill="background1" w:themeFillShade="BF"/>
          </w:tcPr>
          <w:p w:rsidR="00CD6959" w:rsidRPr="00CD6959" w:rsidRDefault="00CD6959" w:rsidP="006A28DE">
            <w:pPr>
              <w:rPr>
                <w:sz w:val="20"/>
                <w:szCs w:val="20"/>
              </w:rPr>
            </w:pPr>
            <w:r>
              <w:rPr>
                <w:sz w:val="20"/>
                <w:szCs w:val="20"/>
              </w:rPr>
              <w:t>20-23</w:t>
            </w:r>
          </w:p>
          <w:p w:rsidR="00CD6959" w:rsidRDefault="00CD6959" w:rsidP="006A28DE"/>
        </w:tc>
        <w:tc>
          <w:tcPr>
            <w:tcW w:w="1127" w:type="dxa"/>
          </w:tcPr>
          <w:p w:rsidR="00CD6959" w:rsidRDefault="00CD6959" w:rsidP="006A28DE"/>
        </w:tc>
        <w:tc>
          <w:tcPr>
            <w:tcW w:w="1127" w:type="dxa"/>
          </w:tcPr>
          <w:p w:rsidR="00CD6959" w:rsidRDefault="00CD6959" w:rsidP="006A28DE"/>
        </w:tc>
        <w:tc>
          <w:tcPr>
            <w:tcW w:w="1127" w:type="dxa"/>
          </w:tcPr>
          <w:p w:rsidR="00CD6959" w:rsidRDefault="00CD6959" w:rsidP="006A28DE"/>
        </w:tc>
        <w:tc>
          <w:tcPr>
            <w:tcW w:w="1127" w:type="dxa"/>
          </w:tcPr>
          <w:p w:rsidR="00CD6959" w:rsidRDefault="00CD6959" w:rsidP="006A28DE"/>
        </w:tc>
        <w:tc>
          <w:tcPr>
            <w:tcW w:w="1127" w:type="dxa"/>
          </w:tcPr>
          <w:p w:rsidR="00CD6959" w:rsidRDefault="00CD6959" w:rsidP="006A28DE"/>
        </w:tc>
      </w:tr>
      <w:tr w:rsidR="00CD6959" w:rsidTr="00CD6959">
        <w:tc>
          <w:tcPr>
            <w:tcW w:w="468" w:type="dxa"/>
            <w:vMerge/>
            <w:shd w:val="clear" w:color="auto" w:fill="808080" w:themeFill="background1" w:themeFillShade="80"/>
          </w:tcPr>
          <w:p w:rsidR="00CD6959" w:rsidRDefault="00CD6959" w:rsidP="006A28DE"/>
        </w:tc>
        <w:tc>
          <w:tcPr>
            <w:tcW w:w="1832" w:type="dxa"/>
            <w:vMerge/>
            <w:shd w:val="clear" w:color="auto" w:fill="BFBFBF" w:themeFill="background1" w:themeFillShade="BF"/>
          </w:tcPr>
          <w:p w:rsidR="00CD6959" w:rsidRDefault="00CD6959" w:rsidP="006A28DE"/>
        </w:tc>
        <w:tc>
          <w:tcPr>
            <w:tcW w:w="1127" w:type="dxa"/>
            <w:shd w:val="clear" w:color="auto" w:fill="BFBFBF" w:themeFill="background1" w:themeFillShade="BF"/>
          </w:tcPr>
          <w:p w:rsidR="00CD6959" w:rsidRPr="00CD6959" w:rsidRDefault="00CD6959" w:rsidP="006A28DE">
            <w:pPr>
              <w:rPr>
                <w:sz w:val="20"/>
                <w:szCs w:val="20"/>
              </w:rPr>
            </w:pPr>
            <w:r>
              <w:rPr>
                <w:sz w:val="20"/>
                <w:szCs w:val="20"/>
              </w:rPr>
              <w:t>23-27</w:t>
            </w:r>
          </w:p>
        </w:tc>
        <w:tc>
          <w:tcPr>
            <w:tcW w:w="1127" w:type="dxa"/>
          </w:tcPr>
          <w:p w:rsidR="00CD6959" w:rsidRDefault="00CD6959" w:rsidP="006A28DE"/>
        </w:tc>
        <w:tc>
          <w:tcPr>
            <w:tcW w:w="1127" w:type="dxa"/>
          </w:tcPr>
          <w:p w:rsidR="00CD6959" w:rsidRDefault="00CD6959" w:rsidP="006A28DE"/>
        </w:tc>
        <w:tc>
          <w:tcPr>
            <w:tcW w:w="1127" w:type="dxa"/>
          </w:tcPr>
          <w:p w:rsidR="00CD6959" w:rsidRDefault="00CD6959" w:rsidP="006A28DE"/>
        </w:tc>
        <w:tc>
          <w:tcPr>
            <w:tcW w:w="1127" w:type="dxa"/>
          </w:tcPr>
          <w:p w:rsidR="00CD6959" w:rsidRDefault="00CD6959" w:rsidP="006A28DE">
            <w:pPr>
              <w:rPr>
                <w:sz w:val="20"/>
                <w:szCs w:val="20"/>
              </w:rPr>
            </w:pPr>
            <w:r>
              <w:rPr>
                <w:sz w:val="20"/>
                <w:szCs w:val="20"/>
              </w:rPr>
              <w:t>26,4</w:t>
            </w:r>
          </w:p>
          <w:p w:rsidR="00CD6959" w:rsidRPr="00CD6959" w:rsidRDefault="00CD6959" w:rsidP="006A28DE">
            <w:pPr>
              <w:rPr>
                <w:sz w:val="20"/>
                <w:szCs w:val="20"/>
              </w:rPr>
            </w:pPr>
            <w:r>
              <w:rPr>
                <w:sz w:val="20"/>
                <w:szCs w:val="20"/>
              </w:rPr>
              <w:t>7,9</w:t>
            </w:r>
          </w:p>
        </w:tc>
        <w:tc>
          <w:tcPr>
            <w:tcW w:w="1127" w:type="dxa"/>
          </w:tcPr>
          <w:p w:rsidR="00CD6959" w:rsidRDefault="00CD6959" w:rsidP="006A28DE"/>
        </w:tc>
      </w:tr>
      <w:tr w:rsidR="006A28DE" w:rsidTr="00CD6959">
        <w:tc>
          <w:tcPr>
            <w:tcW w:w="468" w:type="dxa"/>
            <w:vMerge/>
            <w:shd w:val="clear" w:color="auto" w:fill="808080" w:themeFill="background1" w:themeFillShade="80"/>
          </w:tcPr>
          <w:p w:rsidR="006A28DE" w:rsidRDefault="006A28DE" w:rsidP="006A28DE"/>
        </w:tc>
        <w:tc>
          <w:tcPr>
            <w:tcW w:w="1832" w:type="dxa"/>
            <w:shd w:val="clear" w:color="auto" w:fill="BFBFBF" w:themeFill="background1" w:themeFillShade="BF"/>
          </w:tcPr>
          <w:p w:rsidR="006A28DE" w:rsidRDefault="006A28DE" w:rsidP="006A28DE"/>
          <w:p w:rsidR="006A28DE" w:rsidRDefault="006A28DE" w:rsidP="006A28DE"/>
        </w:tc>
        <w:tc>
          <w:tcPr>
            <w:tcW w:w="1127" w:type="dxa"/>
            <w:shd w:val="clear" w:color="auto" w:fill="BFBFBF" w:themeFill="background1" w:themeFillShade="BF"/>
          </w:tcPr>
          <w:p w:rsidR="006A28DE" w:rsidRPr="00CD6959" w:rsidRDefault="00CD6959" w:rsidP="006A28DE">
            <w:pPr>
              <w:rPr>
                <w:sz w:val="20"/>
                <w:szCs w:val="20"/>
              </w:rPr>
            </w:pPr>
            <w:r>
              <w:rPr>
                <w:sz w:val="20"/>
                <w:szCs w:val="20"/>
              </w:rPr>
              <w:t>27-33</w:t>
            </w:r>
          </w:p>
        </w:tc>
        <w:tc>
          <w:tcPr>
            <w:tcW w:w="1127" w:type="dxa"/>
          </w:tcPr>
          <w:p w:rsidR="006A28DE" w:rsidRDefault="006A28DE" w:rsidP="006A28DE"/>
        </w:tc>
        <w:tc>
          <w:tcPr>
            <w:tcW w:w="1127" w:type="dxa"/>
          </w:tcPr>
          <w:p w:rsidR="006A28DE" w:rsidRDefault="006A28DE" w:rsidP="006A28DE"/>
        </w:tc>
        <w:tc>
          <w:tcPr>
            <w:tcW w:w="1127" w:type="dxa"/>
          </w:tcPr>
          <w:p w:rsidR="006A28DE" w:rsidRDefault="006A28DE" w:rsidP="006A28DE"/>
        </w:tc>
        <w:tc>
          <w:tcPr>
            <w:tcW w:w="1127" w:type="dxa"/>
          </w:tcPr>
          <w:p w:rsidR="006A28DE" w:rsidRDefault="006A28DE" w:rsidP="006A28DE"/>
        </w:tc>
        <w:tc>
          <w:tcPr>
            <w:tcW w:w="1127" w:type="dxa"/>
          </w:tcPr>
          <w:p w:rsidR="006A28DE" w:rsidRDefault="006A28DE" w:rsidP="006A28DE"/>
        </w:tc>
      </w:tr>
      <w:tr w:rsidR="00CD6959" w:rsidTr="00CD6959">
        <w:tc>
          <w:tcPr>
            <w:tcW w:w="468" w:type="dxa"/>
            <w:vMerge/>
            <w:shd w:val="clear" w:color="auto" w:fill="808080" w:themeFill="background1" w:themeFillShade="80"/>
          </w:tcPr>
          <w:p w:rsidR="00CD6959" w:rsidRDefault="00CD6959" w:rsidP="006A28DE"/>
        </w:tc>
        <w:tc>
          <w:tcPr>
            <w:tcW w:w="1832" w:type="dxa"/>
            <w:vMerge w:val="restart"/>
            <w:shd w:val="clear" w:color="auto" w:fill="BFBFBF" w:themeFill="background1" w:themeFillShade="BF"/>
          </w:tcPr>
          <w:p w:rsidR="00CD6959" w:rsidRDefault="00CD6959" w:rsidP="006A28DE">
            <w:pPr>
              <w:rPr>
                <w:sz w:val="20"/>
                <w:szCs w:val="20"/>
              </w:rPr>
            </w:pPr>
            <w:r>
              <w:rPr>
                <w:noProof/>
                <w:sz w:val="20"/>
                <w:szCs w:val="20"/>
                <w:lang w:eastAsia="nl-NL"/>
              </w:rPr>
              <mc:AlternateContent>
                <mc:Choice Requires="wps">
                  <w:drawing>
                    <wp:anchor distT="0" distB="0" distL="114300" distR="114300" simplePos="0" relativeHeight="251674624" behindDoc="0" locked="0" layoutInCell="1" allowOverlap="1">
                      <wp:simplePos x="0" y="0"/>
                      <wp:positionH relativeFrom="column">
                        <wp:posOffset>893445</wp:posOffset>
                      </wp:positionH>
                      <wp:positionV relativeFrom="paragraph">
                        <wp:posOffset>114935</wp:posOffset>
                      </wp:positionV>
                      <wp:extent cx="0" cy="219075"/>
                      <wp:effectExtent l="76200" t="0" r="57150" b="47625"/>
                      <wp:wrapNone/>
                      <wp:docPr id="13" name="Rechte verbindingslijn met pijl 1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E6C1BD" id="Rechte verbindingslijn met pijl 13" o:spid="_x0000_s1026" type="#_x0000_t32" style="position:absolute;margin-left:70.35pt;margin-top:9.05pt;width:0;height:17.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" strokecolor="black [3040]">
                      <v:stroke endarrow="block"/>
                    </v:shape>
                  </w:pict>
                </mc:Fallback>
              </mc:AlternateContent>
            </w:r>
            <w:r>
              <w:rPr>
                <w:sz w:val="20"/>
                <w:szCs w:val="20"/>
              </w:rPr>
              <w:t>Voorspelt lage</w:t>
            </w:r>
          </w:p>
          <w:p w:rsidR="00CD6959" w:rsidRPr="00CD6959" w:rsidRDefault="00CD6959" w:rsidP="006A28DE">
            <w:pPr>
              <w:rPr>
                <w:sz w:val="20"/>
                <w:szCs w:val="20"/>
              </w:rPr>
            </w:pPr>
            <w:r>
              <w:rPr>
                <w:sz w:val="20"/>
                <w:szCs w:val="20"/>
              </w:rPr>
              <w:t>resultaten</w:t>
            </w:r>
          </w:p>
          <w:p w:rsidR="00CD6959" w:rsidRDefault="00CD6959" w:rsidP="006A28DE"/>
          <w:p w:rsidR="00CD6959" w:rsidRDefault="00CD6959" w:rsidP="006A28DE"/>
        </w:tc>
        <w:tc>
          <w:tcPr>
            <w:tcW w:w="1127" w:type="dxa"/>
            <w:shd w:val="clear" w:color="auto" w:fill="BFBFBF" w:themeFill="background1" w:themeFillShade="BF"/>
          </w:tcPr>
          <w:p w:rsidR="00CD6959" w:rsidRPr="00CD6959" w:rsidRDefault="00CD6959" w:rsidP="006A28DE">
            <w:pPr>
              <w:rPr>
                <w:sz w:val="20"/>
                <w:szCs w:val="20"/>
              </w:rPr>
            </w:pPr>
            <w:r>
              <w:rPr>
                <w:sz w:val="20"/>
                <w:szCs w:val="20"/>
              </w:rPr>
              <w:t>33-37</w:t>
            </w:r>
          </w:p>
          <w:p w:rsidR="00CD6959" w:rsidRDefault="00CD6959" w:rsidP="006A28DE"/>
        </w:tc>
        <w:tc>
          <w:tcPr>
            <w:tcW w:w="1127" w:type="dxa"/>
          </w:tcPr>
          <w:p w:rsidR="00CD6959" w:rsidRDefault="00CD6959" w:rsidP="006A28DE"/>
        </w:tc>
        <w:tc>
          <w:tcPr>
            <w:tcW w:w="1127" w:type="dxa"/>
          </w:tcPr>
          <w:p w:rsidR="00CD6959" w:rsidRDefault="00CD6959" w:rsidP="006A28DE"/>
        </w:tc>
        <w:tc>
          <w:tcPr>
            <w:tcW w:w="1127" w:type="dxa"/>
          </w:tcPr>
          <w:p w:rsidR="00CD6959" w:rsidRDefault="00CD6959" w:rsidP="006A28DE"/>
        </w:tc>
        <w:tc>
          <w:tcPr>
            <w:tcW w:w="1127" w:type="dxa"/>
          </w:tcPr>
          <w:p w:rsidR="00CD6959" w:rsidRDefault="00CD6959" w:rsidP="006A28DE"/>
        </w:tc>
        <w:tc>
          <w:tcPr>
            <w:tcW w:w="1127" w:type="dxa"/>
          </w:tcPr>
          <w:p w:rsidR="00CD6959" w:rsidRDefault="00CD6959" w:rsidP="006A28DE"/>
        </w:tc>
      </w:tr>
      <w:tr w:rsidR="00CD6959" w:rsidTr="00CD6959">
        <w:tc>
          <w:tcPr>
            <w:tcW w:w="468" w:type="dxa"/>
            <w:vMerge/>
            <w:shd w:val="clear" w:color="auto" w:fill="808080" w:themeFill="background1" w:themeFillShade="80"/>
          </w:tcPr>
          <w:p w:rsidR="00CD6959" w:rsidRDefault="00CD6959" w:rsidP="006A28DE"/>
        </w:tc>
        <w:tc>
          <w:tcPr>
            <w:tcW w:w="1832" w:type="dxa"/>
            <w:vMerge/>
            <w:shd w:val="clear" w:color="auto" w:fill="BFBFBF" w:themeFill="background1" w:themeFillShade="BF"/>
          </w:tcPr>
          <w:p w:rsidR="00CD6959" w:rsidRDefault="00CD6959" w:rsidP="006A28DE"/>
        </w:tc>
        <w:tc>
          <w:tcPr>
            <w:tcW w:w="1127" w:type="dxa"/>
            <w:shd w:val="clear" w:color="auto" w:fill="BFBFBF" w:themeFill="background1" w:themeFillShade="BF"/>
          </w:tcPr>
          <w:p w:rsidR="00CD6959" w:rsidRPr="00CD6959" w:rsidRDefault="00CD6959" w:rsidP="006A28DE">
            <w:pPr>
              <w:rPr>
                <w:sz w:val="20"/>
                <w:szCs w:val="20"/>
              </w:rPr>
            </w:pPr>
            <w:r>
              <w:rPr>
                <w:sz w:val="20"/>
                <w:szCs w:val="20"/>
              </w:rPr>
              <w:t>37-40</w:t>
            </w:r>
          </w:p>
          <w:p w:rsidR="00CD6959" w:rsidRDefault="00CD6959" w:rsidP="006A28DE"/>
        </w:tc>
        <w:tc>
          <w:tcPr>
            <w:tcW w:w="1127" w:type="dxa"/>
          </w:tcPr>
          <w:p w:rsidR="00CD6959" w:rsidRDefault="00CD6959" w:rsidP="006A28DE"/>
        </w:tc>
        <w:tc>
          <w:tcPr>
            <w:tcW w:w="1127" w:type="dxa"/>
          </w:tcPr>
          <w:p w:rsidR="00CD6959" w:rsidRDefault="00CD6959" w:rsidP="006A28DE"/>
        </w:tc>
        <w:tc>
          <w:tcPr>
            <w:tcW w:w="1127" w:type="dxa"/>
          </w:tcPr>
          <w:p w:rsidR="00CD6959" w:rsidRDefault="00CD6959" w:rsidP="006A28DE"/>
        </w:tc>
        <w:tc>
          <w:tcPr>
            <w:tcW w:w="1127" w:type="dxa"/>
          </w:tcPr>
          <w:p w:rsidR="00CD6959" w:rsidRDefault="00CD6959" w:rsidP="006A28DE"/>
        </w:tc>
        <w:tc>
          <w:tcPr>
            <w:tcW w:w="1127" w:type="dxa"/>
          </w:tcPr>
          <w:p w:rsidR="00CD6959" w:rsidRDefault="00CD6959" w:rsidP="006A28DE"/>
        </w:tc>
      </w:tr>
    </w:tbl>
    <w:p w:rsidR="00AF4178" w:rsidRPr="00AF4178" w:rsidRDefault="00AF4178" w:rsidP="00AF4178"/>
    <w:p w:rsidR="00AF4178" w:rsidRDefault="0022069C" w:rsidP="0022069C">
      <w:pPr>
        <w:pStyle w:val="Geenafstand"/>
      </w:pPr>
      <w:r>
        <w:t>In de volgen</w:t>
      </w:r>
      <w:r w:rsidR="00A41BD9">
        <w:t xml:space="preserve">de tabel staat </w:t>
      </w:r>
      <w:r>
        <w:t xml:space="preserve">het spreidingsgetal en de schoolweging. Daarna volgen de signaleringswaarden. Deze zijn in oktober 2019 vastgesteld door de Inspectie van het Onderwijs. De signaleringswaarden functioneren als ondergrenzen. Alle scholen moeten hoger scoren dan 85% gelet op referentieniveau 1F. De signaleringswaarde voor 1S/2F is afhankelijk van de schoolweging. Ook staat in de tabel weergegeven welke gemiddelde scores de </w:t>
      </w:r>
      <w:proofErr w:type="spellStart"/>
      <w:r>
        <w:t>Pantarijn</w:t>
      </w:r>
      <w:proofErr w:type="spellEnd"/>
      <w:r>
        <w:t xml:space="preserve"> heeft behaald m.b.t. 1F en 1S/2F. De inspectie gaat daarbij uit van het gemiddelde over de laatste drie jaar. De PO-Raad heeft gewezen op het directe verband tussen de 1S/2F percentages en de adviezen naar TL/havo en hoger. Hiermee kunnen we dus zien of onze behaalde gemiddelde score voor 1S/2F overeenkomt met de adviezen die wij hebben gegeven aan de leerlingen.</w:t>
      </w:r>
    </w:p>
    <w:p w:rsidR="00CD6959" w:rsidRDefault="00CD6959" w:rsidP="0022069C">
      <w:pPr>
        <w:pStyle w:val="Geenafstand"/>
      </w:pPr>
    </w:p>
    <w:p w:rsidR="00CD6959" w:rsidRDefault="00CD6959" w:rsidP="0022069C">
      <w:pPr>
        <w:pStyle w:val="Geenafstand"/>
      </w:pPr>
    </w:p>
    <w:p w:rsidR="0041200D" w:rsidRDefault="0041200D" w:rsidP="0022069C">
      <w:pPr>
        <w:pStyle w:val="Geenafstand"/>
      </w:pPr>
    </w:p>
    <w:p w:rsidR="0041200D" w:rsidRDefault="0041200D" w:rsidP="0022069C">
      <w:pPr>
        <w:pStyle w:val="Geenafstand"/>
      </w:pPr>
    </w:p>
    <w:p w:rsidR="008D492B" w:rsidRDefault="008D492B" w:rsidP="0022069C">
      <w:pPr>
        <w:pStyle w:val="Geenafstand"/>
      </w:pPr>
    </w:p>
    <w:tbl>
      <w:tblPr>
        <w:tblStyle w:val="Tabelraster"/>
        <w:tblpPr w:leftFromText="141" w:rightFromText="141" w:vertAnchor="text" w:horzAnchor="margin" w:tblpY="207"/>
        <w:tblW w:w="0" w:type="auto"/>
        <w:tblLayout w:type="fixed"/>
        <w:tblLook w:val="04A0" w:firstRow="1" w:lastRow="0" w:firstColumn="1" w:lastColumn="0" w:noHBand="0" w:noVBand="1"/>
      </w:tblPr>
      <w:tblGrid>
        <w:gridCol w:w="1129"/>
        <w:gridCol w:w="1280"/>
        <w:gridCol w:w="987"/>
        <w:gridCol w:w="1004"/>
        <w:gridCol w:w="898"/>
        <w:gridCol w:w="1218"/>
        <w:gridCol w:w="1134"/>
        <w:gridCol w:w="1412"/>
      </w:tblGrid>
      <w:tr w:rsidR="0022069C" w:rsidTr="0022069C">
        <w:tc>
          <w:tcPr>
            <w:tcW w:w="1129" w:type="dxa"/>
            <w:shd w:val="clear" w:color="auto" w:fill="808080" w:themeFill="background1" w:themeFillShade="80"/>
          </w:tcPr>
          <w:p w:rsidR="0022069C" w:rsidRPr="00AF4178" w:rsidRDefault="0022069C" w:rsidP="0022069C">
            <w:pPr>
              <w:tabs>
                <w:tab w:val="left" w:pos="1425"/>
              </w:tabs>
              <w:jc w:val="center"/>
              <w:rPr>
                <w:color w:val="FFFFFF" w:themeColor="background1"/>
                <w:sz w:val="20"/>
                <w:szCs w:val="20"/>
              </w:rPr>
            </w:pPr>
            <w:r w:rsidRPr="00AF4178">
              <w:rPr>
                <w:color w:val="FFFFFF" w:themeColor="background1"/>
                <w:sz w:val="20"/>
                <w:szCs w:val="20"/>
              </w:rPr>
              <w:lastRenderedPageBreak/>
              <w:t>Schooljaar</w:t>
            </w:r>
          </w:p>
        </w:tc>
        <w:tc>
          <w:tcPr>
            <w:tcW w:w="1280" w:type="dxa"/>
            <w:shd w:val="clear" w:color="auto" w:fill="808080" w:themeFill="background1" w:themeFillShade="80"/>
          </w:tcPr>
          <w:p w:rsidR="0022069C" w:rsidRPr="00AF4178" w:rsidRDefault="0022069C" w:rsidP="0022069C">
            <w:pPr>
              <w:tabs>
                <w:tab w:val="left" w:pos="1425"/>
              </w:tabs>
              <w:jc w:val="center"/>
              <w:rPr>
                <w:sz w:val="20"/>
                <w:szCs w:val="20"/>
              </w:rPr>
            </w:pPr>
            <w:r>
              <w:rPr>
                <w:color w:val="FFFFFF" w:themeColor="background1"/>
                <w:sz w:val="20"/>
                <w:szCs w:val="20"/>
              </w:rPr>
              <w:t>S</w:t>
            </w:r>
            <w:r w:rsidRPr="00AF4178">
              <w:rPr>
                <w:color w:val="FFFFFF" w:themeColor="background1"/>
                <w:sz w:val="20"/>
                <w:szCs w:val="20"/>
              </w:rPr>
              <w:t>chool</w:t>
            </w:r>
            <w:r>
              <w:rPr>
                <w:color w:val="FFFFFF" w:themeColor="background1"/>
                <w:sz w:val="20"/>
                <w:szCs w:val="20"/>
              </w:rPr>
              <w:t>-</w:t>
            </w:r>
            <w:r w:rsidRPr="00AF4178">
              <w:rPr>
                <w:color w:val="FFFFFF" w:themeColor="background1"/>
                <w:sz w:val="20"/>
                <w:szCs w:val="20"/>
              </w:rPr>
              <w:t>weging</w:t>
            </w:r>
          </w:p>
        </w:tc>
        <w:tc>
          <w:tcPr>
            <w:tcW w:w="987" w:type="dxa"/>
            <w:shd w:val="clear" w:color="auto" w:fill="808080" w:themeFill="background1" w:themeFillShade="80"/>
          </w:tcPr>
          <w:p w:rsidR="0022069C" w:rsidRPr="00AF4178" w:rsidRDefault="0022069C" w:rsidP="0022069C">
            <w:pPr>
              <w:tabs>
                <w:tab w:val="left" w:pos="1425"/>
              </w:tabs>
              <w:rPr>
                <w:sz w:val="20"/>
                <w:szCs w:val="20"/>
              </w:rPr>
            </w:pPr>
            <w:r w:rsidRPr="00AF4178">
              <w:rPr>
                <w:color w:val="FFFFFF" w:themeColor="background1"/>
                <w:sz w:val="20"/>
                <w:szCs w:val="20"/>
              </w:rPr>
              <w:t>Spreiding</w:t>
            </w:r>
          </w:p>
        </w:tc>
        <w:tc>
          <w:tcPr>
            <w:tcW w:w="1902" w:type="dxa"/>
            <w:gridSpan w:val="2"/>
            <w:shd w:val="clear" w:color="auto" w:fill="808080" w:themeFill="background1" w:themeFillShade="80"/>
          </w:tcPr>
          <w:p w:rsidR="0022069C" w:rsidRPr="00AF4178" w:rsidRDefault="0022069C" w:rsidP="0022069C">
            <w:pPr>
              <w:tabs>
                <w:tab w:val="left" w:pos="1425"/>
              </w:tabs>
              <w:jc w:val="center"/>
              <w:rPr>
                <w:color w:val="FFFFFF" w:themeColor="background1"/>
                <w:sz w:val="20"/>
                <w:szCs w:val="20"/>
              </w:rPr>
            </w:pPr>
            <w:r>
              <w:rPr>
                <w:color w:val="FFFFFF" w:themeColor="background1"/>
                <w:sz w:val="20"/>
                <w:szCs w:val="20"/>
              </w:rPr>
              <w:t>S</w:t>
            </w:r>
            <w:r w:rsidRPr="00AF4178">
              <w:rPr>
                <w:color w:val="FFFFFF" w:themeColor="background1"/>
                <w:sz w:val="20"/>
                <w:szCs w:val="20"/>
              </w:rPr>
              <w:t>ignaleringswaarden</w:t>
            </w:r>
          </w:p>
        </w:tc>
        <w:tc>
          <w:tcPr>
            <w:tcW w:w="2352" w:type="dxa"/>
            <w:gridSpan w:val="2"/>
            <w:shd w:val="clear" w:color="auto" w:fill="808080" w:themeFill="background1" w:themeFillShade="80"/>
          </w:tcPr>
          <w:p w:rsidR="0022069C" w:rsidRDefault="0022069C" w:rsidP="0022069C">
            <w:pPr>
              <w:tabs>
                <w:tab w:val="left" w:pos="1425"/>
              </w:tabs>
              <w:jc w:val="center"/>
              <w:rPr>
                <w:color w:val="FFFFFF" w:themeColor="background1"/>
                <w:sz w:val="20"/>
                <w:szCs w:val="20"/>
              </w:rPr>
            </w:pPr>
            <w:r w:rsidRPr="00AF4178">
              <w:rPr>
                <w:color w:val="FFFFFF" w:themeColor="background1"/>
                <w:sz w:val="20"/>
                <w:szCs w:val="20"/>
              </w:rPr>
              <w:t>Behaalde</w:t>
            </w:r>
          </w:p>
          <w:p w:rsidR="0022069C" w:rsidRDefault="0022069C" w:rsidP="0022069C">
            <w:pPr>
              <w:tabs>
                <w:tab w:val="left" w:pos="1425"/>
              </w:tabs>
              <w:jc w:val="center"/>
              <w:rPr>
                <w:color w:val="FFFFFF" w:themeColor="background1"/>
                <w:sz w:val="20"/>
                <w:szCs w:val="20"/>
              </w:rPr>
            </w:pPr>
            <w:r w:rsidRPr="00AF4178">
              <w:rPr>
                <w:color w:val="FFFFFF" w:themeColor="background1"/>
                <w:sz w:val="20"/>
                <w:szCs w:val="20"/>
              </w:rPr>
              <w:t>referentieniveaus</w:t>
            </w:r>
          </w:p>
        </w:tc>
        <w:tc>
          <w:tcPr>
            <w:tcW w:w="1412" w:type="dxa"/>
            <w:shd w:val="clear" w:color="auto" w:fill="808080" w:themeFill="background1" w:themeFillShade="80"/>
          </w:tcPr>
          <w:p w:rsidR="0022069C" w:rsidRDefault="0022069C" w:rsidP="0022069C">
            <w:pPr>
              <w:tabs>
                <w:tab w:val="left" w:pos="1425"/>
              </w:tabs>
              <w:jc w:val="center"/>
              <w:rPr>
                <w:color w:val="FFFFFF" w:themeColor="background1"/>
                <w:sz w:val="20"/>
                <w:szCs w:val="20"/>
              </w:rPr>
            </w:pPr>
            <w:r>
              <w:rPr>
                <w:color w:val="FFFFFF" w:themeColor="background1"/>
                <w:sz w:val="20"/>
                <w:szCs w:val="20"/>
              </w:rPr>
              <w:t xml:space="preserve">% </w:t>
            </w:r>
          </w:p>
          <w:p w:rsidR="0022069C" w:rsidRPr="00AF4178" w:rsidRDefault="0022069C" w:rsidP="0022069C">
            <w:pPr>
              <w:tabs>
                <w:tab w:val="left" w:pos="1425"/>
              </w:tabs>
              <w:jc w:val="center"/>
              <w:rPr>
                <w:color w:val="FFFFFF" w:themeColor="background1"/>
                <w:sz w:val="20"/>
                <w:szCs w:val="20"/>
              </w:rPr>
            </w:pPr>
            <w:r>
              <w:rPr>
                <w:color w:val="FFFFFF" w:themeColor="background1"/>
                <w:sz w:val="20"/>
                <w:szCs w:val="20"/>
              </w:rPr>
              <w:t>TL/Havo/VWO</w:t>
            </w:r>
          </w:p>
        </w:tc>
      </w:tr>
      <w:tr w:rsidR="0022069C" w:rsidTr="0022069C">
        <w:tc>
          <w:tcPr>
            <w:tcW w:w="1129" w:type="dxa"/>
          </w:tcPr>
          <w:p w:rsidR="0022069C" w:rsidRDefault="0022069C" w:rsidP="0022069C">
            <w:pPr>
              <w:tabs>
                <w:tab w:val="left" w:pos="1425"/>
              </w:tabs>
            </w:pPr>
          </w:p>
        </w:tc>
        <w:tc>
          <w:tcPr>
            <w:tcW w:w="1280" w:type="dxa"/>
          </w:tcPr>
          <w:p w:rsidR="0022069C" w:rsidRPr="00466BCF" w:rsidRDefault="0022069C" w:rsidP="0022069C">
            <w:pPr>
              <w:tabs>
                <w:tab w:val="left" w:pos="1425"/>
              </w:tabs>
              <w:jc w:val="center"/>
              <w:rPr>
                <w:sz w:val="20"/>
                <w:szCs w:val="20"/>
              </w:rPr>
            </w:pPr>
            <w:r>
              <w:rPr>
                <w:sz w:val="20"/>
                <w:szCs w:val="20"/>
              </w:rPr>
              <w:t>20-40</w:t>
            </w:r>
          </w:p>
        </w:tc>
        <w:tc>
          <w:tcPr>
            <w:tcW w:w="987" w:type="dxa"/>
          </w:tcPr>
          <w:p w:rsidR="0022069C" w:rsidRPr="00466BCF" w:rsidRDefault="0022069C" w:rsidP="0022069C">
            <w:pPr>
              <w:tabs>
                <w:tab w:val="left" w:pos="1425"/>
              </w:tabs>
              <w:jc w:val="center"/>
              <w:rPr>
                <w:sz w:val="20"/>
                <w:szCs w:val="20"/>
              </w:rPr>
            </w:pPr>
            <w:r>
              <w:rPr>
                <w:sz w:val="20"/>
                <w:szCs w:val="20"/>
              </w:rPr>
              <w:t>3-9</w:t>
            </w:r>
          </w:p>
        </w:tc>
        <w:tc>
          <w:tcPr>
            <w:tcW w:w="1004" w:type="dxa"/>
          </w:tcPr>
          <w:p w:rsidR="0022069C" w:rsidRPr="00466BCF" w:rsidRDefault="0022069C" w:rsidP="0022069C">
            <w:pPr>
              <w:tabs>
                <w:tab w:val="left" w:pos="1425"/>
              </w:tabs>
              <w:jc w:val="center"/>
              <w:rPr>
                <w:sz w:val="20"/>
                <w:szCs w:val="20"/>
              </w:rPr>
            </w:pPr>
            <w:r>
              <w:rPr>
                <w:sz w:val="20"/>
                <w:szCs w:val="20"/>
              </w:rPr>
              <w:t>1F</w:t>
            </w:r>
          </w:p>
        </w:tc>
        <w:tc>
          <w:tcPr>
            <w:tcW w:w="898" w:type="dxa"/>
          </w:tcPr>
          <w:p w:rsidR="0022069C" w:rsidRPr="00466BCF" w:rsidRDefault="0022069C" w:rsidP="0022069C">
            <w:pPr>
              <w:tabs>
                <w:tab w:val="left" w:pos="1425"/>
              </w:tabs>
              <w:jc w:val="center"/>
              <w:rPr>
                <w:sz w:val="20"/>
                <w:szCs w:val="20"/>
              </w:rPr>
            </w:pPr>
            <w:r w:rsidRPr="00466BCF">
              <w:rPr>
                <w:sz w:val="20"/>
                <w:szCs w:val="20"/>
              </w:rPr>
              <w:t>1S/2F</w:t>
            </w:r>
          </w:p>
        </w:tc>
        <w:tc>
          <w:tcPr>
            <w:tcW w:w="1218" w:type="dxa"/>
          </w:tcPr>
          <w:p w:rsidR="0022069C" w:rsidRPr="00466BCF" w:rsidRDefault="0022069C" w:rsidP="0022069C">
            <w:pPr>
              <w:tabs>
                <w:tab w:val="left" w:pos="1425"/>
              </w:tabs>
              <w:jc w:val="center"/>
              <w:rPr>
                <w:sz w:val="20"/>
                <w:szCs w:val="20"/>
              </w:rPr>
            </w:pPr>
            <w:r w:rsidRPr="00466BCF">
              <w:rPr>
                <w:sz w:val="20"/>
                <w:szCs w:val="20"/>
              </w:rPr>
              <w:t>1F</w:t>
            </w:r>
          </w:p>
        </w:tc>
        <w:tc>
          <w:tcPr>
            <w:tcW w:w="1134" w:type="dxa"/>
          </w:tcPr>
          <w:p w:rsidR="0022069C" w:rsidRPr="00466BCF" w:rsidRDefault="0022069C" w:rsidP="0022069C">
            <w:pPr>
              <w:tabs>
                <w:tab w:val="left" w:pos="1425"/>
              </w:tabs>
              <w:jc w:val="center"/>
              <w:rPr>
                <w:sz w:val="20"/>
                <w:szCs w:val="20"/>
              </w:rPr>
            </w:pPr>
            <w:r>
              <w:rPr>
                <w:sz w:val="20"/>
                <w:szCs w:val="20"/>
              </w:rPr>
              <w:t>1S/2F</w:t>
            </w:r>
          </w:p>
        </w:tc>
        <w:tc>
          <w:tcPr>
            <w:tcW w:w="1412" w:type="dxa"/>
          </w:tcPr>
          <w:p w:rsidR="0022069C" w:rsidRPr="00466BCF" w:rsidRDefault="0022069C" w:rsidP="0022069C">
            <w:pPr>
              <w:tabs>
                <w:tab w:val="left" w:pos="1425"/>
              </w:tabs>
              <w:jc w:val="center"/>
              <w:rPr>
                <w:sz w:val="20"/>
                <w:szCs w:val="20"/>
              </w:rPr>
            </w:pPr>
            <w:r>
              <w:rPr>
                <w:sz w:val="20"/>
                <w:szCs w:val="20"/>
              </w:rPr>
              <w:t>Advies</w:t>
            </w:r>
          </w:p>
        </w:tc>
      </w:tr>
      <w:tr w:rsidR="0022069C" w:rsidTr="0022069C">
        <w:tc>
          <w:tcPr>
            <w:tcW w:w="9062" w:type="dxa"/>
            <w:gridSpan w:val="8"/>
          </w:tcPr>
          <w:p w:rsidR="0022069C" w:rsidRDefault="0022069C" w:rsidP="0022069C">
            <w:pPr>
              <w:tabs>
                <w:tab w:val="left" w:pos="1425"/>
              </w:tabs>
            </w:pPr>
          </w:p>
        </w:tc>
      </w:tr>
      <w:tr w:rsidR="0022069C" w:rsidTr="0022069C">
        <w:tc>
          <w:tcPr>
            <w:tcW w:w="1129" w:type="dxa"/>
          </w:tcPr>
          <w:p w:rsidR="0022069C" w:rsidRPr="00466BCF" w:rsidRDefault="0022069C" w:rsidP="0022069C">
            <w:pPr>
              <w:tabs>
                <w:tab w:val="left" w:pos="1425"/>
              </w:tabs>
              <w:rPr>
                <w:sz w:val="20"/>
                <w:szCs w:val="20"/>
              </w:rPr>
            </w:pPr>
            <w:r>
              <w:rPr>
                <w:sz w:val="20"/>
                <w:szCs w:val="20"/>
              </w:rPr>
              <w:t>2016/2017</w:t>
            </w:r>
          </w:p>
        </w:tc>
        <w:tc>
          <w:tcPr>
            <w:tcW w:w="1280" w:type="dxa"/>
          </w:tcPr>
          <w:p w:rsidR="0022069C" w:rsidRPr="00466BCF" w:rsidRDefault="0022069C" w:rsidP="0022069C">
            <w:pPr>
              <w:tabs>
                <w:tab w:val="left" w:pos="1425"/>
              </w:tabs>
              <w:rPr>
                <w:sz w:val="20"/>
                <w:szCs w:val="20"/>
              </w:rPr>
            </w:pPr>
            <w:r>
              <w:rPr>
                <w:sz w:val="20"/>
                <w:szCs w:val="20"/>
              </w:rPr>
              <w:t>29,4</w:t>
            </w:r>
          </w:p>
        </w:tc>
        <w:tc>
          <w:tcPr>
            <w:tcW w:w="987" w:type="dxa"/>
          </w:tcPr>
          <w:p w:rsidR="0022069C" w:rsidRPr="00466BCF" w:rsidRDefault="0022069C" w:rsidP="0022069C">
            <w:pPr>
              <w:tabs>
                <w:tab w:val="left" w:pos="1425"/>
              </w:tabs>
              <w:rPr>
                <w:sz w:val="20"/>
                <w:szCs w:val="20"/>
              </w:rPr>
            </w:pPr>
            <w:r>
              <w:rPr>
                <w:sz w:val="20"/>
                <w:szCs w:val="20"/>
              </w:rPr>
              <w:t>8,1</w:t>
            </w:r>
          </w:p>
        </w:tc>
        <w:tc>
          <w:tcPr>
            <w:tcW w:w="1004" w:type="dxa"/>
          </w:tcPr>
          <w:p w:rsidR="0022069C" w:rsidRPr="00182B16" w:rsidRDefault="0022069C" w:rsidP="0022069C">
            <w:pPr>
              <w:tabs>
                <w:tab w:val="left" w:pos="1425"/>
              </w:tabs>
              <w:rPr>
                <w:sz w:val="20"/>
                <w:szCs w:val="20"/>
              </w:rPr>
            </w:pPr>
            <w:r>
              <w:rPr>
                <w:sz w:val="20"/>
                <w:szCs w:val="20"/>
              </w:rPr>
              <w:t>85%</w:t>
            </w:r>
          </w:p>
        </w:tc>
        <w:tc>
          <w:tcPr>
            <w:tcW w:w="898" w:type="dxa"/>
          </w:tcPr>
          <w:p w:rsidR="0022069C" w:rsidRDefault="0022069C" w:rsidP="0022069C">
            <w:pPr>
              <w:tabs>
                <w:tab w:val="left" w:pos="1425"/>
              </w:tabs>
            </w:pPr>
          </w:p>
        </w:tc>
        <w:tc>
          <w:tcPr>
            <w:tcW w:w="1218" w:type="dxa"/>
            <w:shd w:val="clear" w:color="auto" w:fill="92D050"/>
          </w:tcPr>
          <w:p w:rsidR="0022069C" w:rsidRPr="00182B16" w:rsidRDefault="0022069C" w:rsidP="0022069C">
            <w:pPr>
              <w:tabs>
                <w:tab w:val="left" w:pos="1425"/>
              </w:tabs>
              <w:rPr>
                <w:sz w:val="20"/>
                <w:szCs w:val="20"/>
              </w:rPr>
            </w:pPr>
            <w:r w:rsidRPr="00182B16">
              <w:rPr>
                <w:sz w:val="20"/>
                <w:szCs w:val="20"/>
              </w:rPr>
              <w:t>93,3</w:t>
            </w:r>
            <w:r>
              <w:rPr>
                <w:sz w:val="20"/>
                <w:szCs w:val="20"/>
              </w:rPr>
              <w:t>%</w:t>
            </w:r>
          </w:p>
        </w:tc>
        <w:tc>
          <w:tcPr>
            <w:tcW w:w="1134" w:type="dxa"/>
          </w:tcPr>
          <w:p w:rsidR="0022069C" w:rsidRPr="00182B16" w:rsidRDefault="0022069C" w:rsidP="0022069C">
            <w:pPr>
              <w:tabs>
                <w:tab w:val="left" w:pos="1425"/>
              </w:tabs>
              <w:rPr>
                <w:sz w:val="20"/>
                <w:szCs w:val="20"/>
              </w:rPr>
            </w:pPr>
            <w:r>
              <w:rPr>
                <w:sz w:val="20"/>
                <w:szCs w:val="20"/>
              </w:rPr>
              <w:t>44,4%</w:t>
            </w:r>
          </w:p>
        </w:tc>
        <w:tc>
          <w:tcPr>
            <w:tcW w:w="1412" w:type="dxa"/>
          </w:tcPr>
          <w:p w:rsidR="0022069C" w:rsidRPr="00B2601E" w:rsidRDefault="0022069C" w:rsidP="0022069C">
            <w:pPr>
              <w:tabs>
                <w:tab w:val="left" w:pos="1425"/>
              </w:tabs>
              <w:rPr>
                <w:sz w:val="20"/>
                <w:szCs w:val="20"/>
              </w:rPr>
            </w:pPr>
            <w:r>
              <w:rPr>
                <w:sz w:val="20"/>
                <w:szCs w:val="20"/>
              </w:rPr>
              <w:t>77%</w:t>
            </w:r>
          </w:p>
        </w:tc>
      </w:tr>
      <w:tr w:rsidR="0022069C" w:rsidTr="0022069C">
        <w:tc>
          <w:tcPr>
            <w:tcW w:w="1129" w:type="dxa"/>
          </w:tcPr>
          <w:p w:rsidR="0022069C" w:rsidRPr="00466BCF" w:rsidRDefault="0022069C" w:rsidP="0022069C">
            <w:pPr>
              <w:tabs>
                <w:tab w:val="left" w:pos="1425"/>
              </w:tabs>
              <w:rPr>
                <w:sz w:val="20"/>
                <w:szCs w:val="20"/>
              </w:rPr>
            </w:pPr>
            <w:r>
              <w:rPr>
                <w:sz w:val="20"/>
                <w:szCs w:val="20"/>
              </w:rPr>
              <w:t>2017/2018</w:t>
            </w:r>
          </w:p>
        </w:tc>
        <w:tc>
          <w:tcPr>
            <w:tcW w:w="1280" w:type="dxa"/>
          </w:tcPr>
          <w:p w:rsidR="0022069C" w:rsidRPr="00466BCF" w:rsidRDefault="0022069C" w:rsidP="0022069C">
            <w:pPr>
              <w:tabs>
                <w:tab w:val="left" w:pos="1425"/>
              </w:tabs>
              <w:rPr>
                <w:sz w:val="20"/>
                <w:szCs w:val="20"/>
              </w:rPr>
            </w:pPr>
            <w:r>
              <w:rPr>
                <w:sz w:val="20"/>
                <w:szCs w:val="20"/>
              </w:rPr>
              <w:t>27,3</w:t>
            </w:r>
          </w:p>
        </w:tc>
        <w:tc>
          <w:tcPr>
            <w:tcW w:w="987" w:type="dxa"/>
          </w:tcPr>
          <w:p w:rsidR="0022069C" w:rsidRPr="00C11920" w:rsidRDefault="0022069C" w:rsidP="0022069C">
            <w:pPr>
              <w:tabs>
                <w:tab w:val="left" w:pos="1425"/>
              </w:tabs>
              <w:rPr>
                <w:sz w:val="20"/>
                <w:szCs w:val="20"/>
              </w:rPr>
            </w:pPr>
            <w:r>
              <w:rPr>
                <w:sz w:val="20"/>
                <w:szCs w:val="20"/>
              </w:rPr>
              <w:t>8,2</w:t>
            </w:r>
          </w:p>
        </w:tc>
        <w:tc>
          <w:tcPr>
            <w:tcW w:w="1004" w:type="dxa"/>
          </w:tcPr>
          <w:p w:rsidR="0022069C" w:rsidRPr="00C11920" w:rsidRDefault="0022069C" w:rsidP="0022069C">
            <w:pPr>
              <w:tabs>
                <w:tab w:val="left" w:pos="1425"/>
              </w:tabs>
              <w:rPr>
                <w:sz w:val="20"/>
                <w:szCs w:val="20"/>
              </w:rPr>
            </w:pPr>
            <w:r>
              <w:rPr>
                <w:sz w:val="20"/>
                <w:szCs w:val="20"/>
              </w:rPr>
              <w:t>85%</w:t>
            </w:r>
          </w:p>
        </w:tc>
        <w:tc>
          <w:tcPr>
            <w:tcW w:w="898" w:type="dxa"/>
          </w:tcPr>
          <w:p w:rsidR="0022069C" w:rsidRPr="00C11920" w:rsidRDefault="0022069C" w:rsidP="0022069C">
            <w:pPr>
              <w:tabs>
                <w:tab w:val="left" w:pos="1425"/>
              </w:tabs>
              <w:rPr>
                <w:sz w:val="20"/>
                <w:szCs w:val="20"/>
              </w:rPr>
            </w:pPr>
            <w:r>
              <w:rPr>
                <w:sz w:val="20"/>
                <w:szCs w:val="20"/>
              </w:rPr>
              <w:t>52,1%</w:t>
            </w:r>
          </w:p>
        </w:tc>
        <w:tc>
          <w:tcPr>
            <w:tcW w:w="1218" w:type="dxa"/>
            <w:shd w:val="clear" w:color="auto" w:fill="92D050"/>
          </w:tcPr>
          <w:p w:rsidR="0022069C" w:rsidRPr="00C11920" w:rsidRDefault="0022069C" w:rsidP="0022069C">
            <w:pPr>
              <w:tabs>
                <w:tab w:val="left" w:pos="1425"/>
              </w:tabs>
              <w:rPr>
                <w:sz w:val="20"/>
                <w:szCs w:val="20"/>
              </w:rPr>
            </w:pPr>
            <w:r>
              <w:rPr>
                <w:sz w:val="20"/>
                <w:szCs w:val="20"/>
              </w:rPr>
              <w:t>95,5%</w:t>
            </w:r>
          </w:p>
        </w:tc>
        <w:tc>
          <w:tcPr>
            <w:tcW w:w="1134" w:type="dxa"/>
            <w:shd w:val="clear" w:color="auto" w:fill="92D050"/>
          </w:tcPr>
          <w:p w:rsidR="0022069C" w:rsidRPr="00C11920" w:rsidRDefault="0022069C" w:rsidP="0022069C">
            <w:pPr>
              <w:tabs>
                <w:tab w:val="left" w:pos="1425"/>
              </w:tabs>
              <w:rPr>
                <w:sz w:val="20"/>
                <w:szCs w:val="20"/>
              </w:rPr>
            </w:pPr>
            <w:r>
              <w:rPr>
                <w:sz w:val="20"/>
                <w:szCs w:val="20"/>
              </w:rPr>
              <w:t>58,2%</w:t>
            </w:r>
          </w:p>
        </w:tc>
        <w:tc>
          <w:tcPr>
            <w:tcW w:w="1412" w:type="dxa"/>
          </w:tcPr>
          <w:p w:rsidR="0022069C" w:rsidRPr="00B2601E" w:rsidRDefault="0022069C" w:rsidP="0022069C">
            <w:pPr>
              <w:tabs>
                <w:tab w:val="left" w:pos="1425"/>
              </w:tabs>
              <w:rPr>
                <w:sz w:val="20"/>
                <w:szCs w:val="20"/>
              </w:rPr>
            </w:pPr>
            <w:r>
              <w:rPr>
                <w:sz w:val="20"/>
                <w:szCs w:val="20"/>
              </w:rPr>
              <w:t>73%</w:t>
            </w:r>
          </w:p>
        </w:tc>
      </w:tr>
      <w:tr w:rsidR="0022069C" w:rsidTr="0022069C">
        <w:tc>
          <w:tcPr>
            <w:tcW w:w="1129" w:type="dxa"/>
          </w:tcPr>
          <w:p w:rsidR="0022069C" w:rsidRPr="00466BCF" w:rsidRDefault="0022069C" w:rsidP="0022069C">
            <w:pPr>
              <w:tabs>
                <w:tab w:val="left" w:pos="1425"/>
              </w:tabs>
              <w:rPr>
                <w:sz w:val="20"/>
                <w:szCs w:val="20"/>
              </w:rPr>
            </w:pPr>
            <w:r>
              <w:rPr>
                <w:sz w:val="20"/>
                <w:szCs w:val="20"/>
              </w:rPr>
              <w:t>2018/2019</w:t>
            </w:r>
          </w:p>
        </w:tc>
        <w:tc>
          <w:tcPr>
            <w:tcW w:w="1280" w:type="dxa"/>
          </w:tcPr>
          <w:p w:rsidR="0022069C" w:rsidRDefault="0022069C" w:rsidP="0022069C">
            <w:pPr>
              <w:tabs>
                <w:tab w:val="left" w:pos="1425"/>
              </w:tabs>
            </w:pPr>
            <w:r w:rsidRPr="00466BCF">
              <w:rPr>
                <w:sz w:val="20"/>
                <w:szCs w:val="20"/>
              </w:rPr>
              <w:t>26,4</w:t>
            </w:r>
          </w:p>
        </w:tc>
        <w:tc>
          <w:tcPr>
            <w:tcW w:w="987" w:type="dxa"/>
          </w:tcPr>
          <w:p w:rsidR="0022069C" w:rsidRPr="00466BCF" w:rsidRDefault="0022069C" w:rsidP="0022069C">
            <w:pPr>
              <w:tabs>
                <w:tab w:val="left" w:pos="1425"/>
              </w:tabs>
              <w:rPr>
                <w:sz w:val="20"/>
                <w:szCs w:val="20"/>
              </w:rPr>
            </w:pPr>
            <w:r>
              <w:rPr>
                <w:sz w:val="20"/>
                <w:szCs w:val="20"/>
              </w:rPr>
              <w:t>7,9</w:t>
            </w:r>
          </w:p>
        </w:tc>
        <w:tc>
          <w:tcPr>
            <w:tcW w:w="1004" w:type="dxa"/>
          </w:tcPr>
          <w:p w:rsidR="0022069C" w:rsidRPr="00466BCF" w:rsidRDefault="0022069C" w:rsidP="0022069C">
            <w:pPr>
              <w:tabs>
                <w:tab w:val="left" w:pos="1425"/>
              </w:tabs>
              <w:rPr>
                <w:sz w:val="20"/>
                <w:szCs w:val="20"/>
              </w:rPr>
            </w:pPr>
            <w:r>
              <w:rPr>
                <w:sz w:val="20"/>
                <w:szCs w:val="20"/>
              </w:rPr>
              <w:t>85%</w:t>
            </w:r>
          </w:p>
        </w:tc>
        <w:tc>
          <w:tcPr>
            <w:tcW w:w="898" w:type="dxa"/>
          </w:tcPr>
          <w:p w:rsidR="0022069C" w:rsidRPr="00466BCF" w:rsidRDefault="0022069C" w:rsidP="0022069C">
            <w:pPr>
              <w:tabs>
                <w:tab w:val="left" w:pos="1425"/>
              </w:tabs>
              <w:rPr>
                <w:sz w:val="20"/>
                <w:szCs w:val="20"/>
              </w:rPr>
            </w:pPr>
            <w:r>
              <w:rPr>
                <w:sz w:val="20"/>
                <w:szCs w:val="20"/>
              </w:rPr>
              <w:t>53,6%</w:t>
            </w:r>
          </w:p>
        </w:tc>
        <w:tc>
          <w:tcPr>
            <w:tcW w:w="1218" w:type="dxa"/>
            <w:shd w:val="clear" w:color="auto" w:fill="92D050"/>
          </w:tcPr>
          <w:p w:rsidR="0022069C" w:rsidRPr="00C11920" w:rsidRDefault="0022069C" w:rsidP="0022069C">
            <w:pPr>
              <w:tabs>
                <w:tab w:val="left" w:pos="1425"/>
              </w:tabs>
              <w:rPr>
                <w:sz w:val="20"/>
                <w:szCs w:val="20"/>
              </w:rPr>
            </w:pPr>
            <w:r>
              <w:rPr>
                <w:sz w:val="20"/>
                <w:szCs w:val="20"/>
              </w:rPr>
              <w:t>94,3%</w:t>
            </w:r>
          </w:p>
        </w:tc>
        <w:tc>
          <w:tcPr>
            <w:tcW w:w="1134" w:type="dxa"/>
            <w:shd w:val="clear" w:color="auto" w:fill="92D050"/>
          </w:tcPr>
          <w:p w:rsidR="0022069C" w:rsidRPr="00C11920" w:rsidRDefault="0022069C" w:rsidP="0022069C">
            <w:pPr>
              <w:tabs>
                <w:tab w:val="left" w:pos="1425"/>
              </w:tabs>
              <w:rPr>
                <w:sz w:val="20"/>
                <w:szCs w:val="20"/>
              </w:rPr>
            </w:pPr>
            <w:r>
              <w:rPr>
                <w:sz w:val="20"/>
                <w:szCs w:val="20"/>
              </w:rPr>
              <w:t>59,8%</w:t>
            </w:r>
          </w:p>
        </w:tc>
        <w:tc>
          <w:tcPr>
            <w:tcW w:w="1412" w:type="dxa"/>
          </w:tcPr>
          <w:p w:rsidR="0022069C" w:rsidRPr="00B2601E" w:rsidRDefault="0022069C" w:rsidP="0022069C">
            <w:pPr>
              <w:tabs>
                <w:tab w:val="left" w:pos="1425"/>
              </w:tabs>
              <w:rPr>
                <w:sz w:val="20"/>
                <w:szCs w:val="20"/>
              </w:rPr>
            </w:pPr>
            <w:r>
              <w:rPr>
                <w:sz w:val="20"/>
                <w:szCs w:val="20"/>
              </w:rPr>
              <w:t>93</w:t>
            </w:r>
            <w:r w:rsidRPr="00B2601E">
              <w:rPr>
                <w:sz w:val="20"/>
                <w:szCs w:val="20"/>
              </w:rPr>
              <w:t>%</w:t>
            </w:r>
          </w:p>
        </w:tc>
      </w:tr>
    </w:tbl>
    <w:p w:rsidR="0022069C" w:rsidRDefault="00AF4178" w:rsidP="0022069C">
      <w:pPr>
        <w:pStyle w:val="Geenafstand"/>
      </w:pPr>
      <w:r>
        <w:tab/>
      </w:r>
    </w:p>
    <w:p w:rsidR="00770EC5" w:rsidRDefault="00B2601E" w:rsidP="0022069C">
      <w:pPr>
        <w:tabs>
          <w:tab w:val="left" w:pos="1425"/>
        </w:tabs>
        <w:rPr>
          <w:sz w:val="18"/>
          <w:szCs w:val="18"/>
        </w:rPr>
      </w:pPr>
      <w:r>
        <w:rPr>
          <w:noProof/>
          <w:lang w:eastAsia="nl-NL"/>
        </w:rPr>
        <mc:AlternateContent>
          <mc:Choice Requires="wps">
            <w:drawing>
              <wp:anchor distT="0" distB="0" distL="114300" distR="114300" simplePos="0" relativeHeight="251666432" behindDoc="0" locked="0" layoutInCell="1" allowOverlap="1" wp14:anchorId="1E282F68" wp14:editId="06AF639B">
                <wp:simplePos x="0" y="0"/>
                <wp:positionH relativeFrom="column">
                  <wp:posOffset>1657350</wp:posOffset>
                </wp:positionH>
                <wp:positionV relativeFrom="paragraph">
                  <wp:posOffset>44450</wp:posOffset>
                </wp:positionV>
                <wp:extent cx="45719" cy="45719"/>
                <wp:effectExtent l="0" t="0" r="12065" b="12065"/>
                <wp:wrapNone/>
                <wp:docPr id="6" name="Ovaal 6"/>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C54F19A" id="Ovaal 6" o:spid="_x0000_s1026" style="position:absolute;margin-left:130.5pt;margin-top:3.5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" fillcolor="red" strokecolor="#c0504d [3205]" strokeweight="2pt"/>
            </w:pict>
          </mc:Fallback>
        </mc:AlternateContent>
      </w: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52705</wp:posOffset>
                </wp:positionH>
                <wp:positionV relativeFrom="paragraph">
                  <wp:posOffset>29845</wp:posOffset>
                </wp:positionV>
                <wp:extent cx="45719" cy="45719"/>
                <wp:effectExtent l="0" t="0" r="12065" b="12065"/>
                <wp:wrapNone/>
                <wp:docPr id="5" name="Ovaal 5"/>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92D05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0B709013" id="Ovaal 5" o:spid="_x0000_s1026" style="position:absolute;margin-left:4.15pt;margin-top:2.35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" fillcolor="#92d050" strokecolor="#4e6128 [1606]" strokeweight="2pt"/>
            </w:pict>
          </mc:Fallback>
        </mc:AlternateContent>
      </w:r>
      <w:r>
        <w:t xml:space="preserve">      </w:t>
      </w:r>
      <w:r w:rsidRPr="00B2601E">
        <w:rPr>
          <w:sz w:val="18"/>
          <w:szCs w:val="18"/>
        </w:rPr>
        <w:t>Boven de signaleringswaarde</w:t>
      </w:r>
      <w:r>
        <w:rPr>
          <w:sz w:val="18"/>
          <w:szCs w:val="18"/>
        </w:rPr>
        <w:t xml:space="preserve">         Onder de signaleringswaarde</w:t>
      </w:r>
    </w:p>
    <w:p w:rsidR="00442161" w:rsidRPr="00C308AA" w:rsidRDefault="00C308AA" w:rsidP="00442161">
      <w:pPr>
        <w:pStyle w:val="Geenafstand"/>
      </w:pPr>
      <w:r w:rsidRPr="00C308AA">
        <w:t>In de volgende tabel</w:t>
      </w:r>
      <w:r>
        <w:t xml:space="preserve"> staan de resultaten weergegeven m.b.t. de behaalde referentieniveaus in de afgelopen drie jaar, per deelgebied. </w:t>
      </w:r>
    </w:p>
    <w:p w:rsidR="00442161" w:rsidRDefault="00C308AA" w:rsidP="00442161">
      <w:pPr>
        <w:pStyle w:val="Geenafstand"/>
        <w:rPr>
          <w:u w:val="single"/>
        </w:rPr>
      </w:pPr>
      <w:r>
        <w:rPr>
          <w:noProof/>
          <w:lang w:eastAsia="nl-NL"/>
        </w:rPr>
        <w:drawing>
          <wp:anchor distT="0" distB="0" distL="114300" distR="114300" simplePos="0" relativeHeight="251675648" behindDoc="0" locked="0" layoutInCell="1" allowOverlap="1">
            <wp:simplePos x="0" y="0"/>
            <wp:positionH relativeFrom="margin">
              <wp:posOffset>-278765</wp:posOffset>
            </wp:positionH>
            <wp:positionV relativeFrom="paragraph">
              <wp:posOffset>59055</wp:posOffset>
            </wp:positionV>
            <wp:extent cx="6551195" cy="102870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763" t="22634" r="10218" b="60611"/>
                    <a:stretch/>
                  </pic:blipFill>
                  <pic:spPr bwMode="auto">
                    <a:xfrm>
                      <a:off x="0" y="0"/>
                      <a:ext cx="655119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2161" w:rsidRDefault="00442161" w:rsidP="00442161">
      <w:pPr>
        <w:pStyle w:val="Geenafstand"/>
        <w:rPr>
          <w:u w:val="single"/>
        </w:rPr>
      </w:pPr>
    </w:p>
    <w:p w:rsidR="00442161" w:rsidRDefault="00442161" w:rsidP="00442161">
      <w:pPr>
        <w:pStyle w:val="Geenafstand"/>
        <w:rPr>
          <w:u w:val="single"/>
        </w:rPr>
      </w:pPr>
    </w:p>
    <w:p w:rsidR="00C308AA" w:rsidRDefault="00C308AA" w:rsidP="00442161">
      <w:pPr>
        <w:pStyle w:val="Geenafstand"/>
        <w:rPr>
          <w:u w:val="single"/>
        </w:rPr>
      </w:pPr>
    </w:p>
    <w:p w:rsidR="00C308AA" w:rsidRDefault="00C308AA" w:rsidP="00442161">
      <w:pPr>
        <w:pStyle w:val="Geenafstand"/>
        <w:rPr>
          <w:u w:val="single"/>
        </w:rPr>
      </w:pPr>
    </w:p>
    <w:p w:rsidR="00C308AA" w:rsidRDefault="00C308AA" w:rsidP="00442161">
      <w:pPr>
        <w:pStyle w:val="Geenafstand"/>
        <w:rPr>
          <w:u w:val="single"/>
        </w:rPr>
      </w:pPr>
    </w:p>
    <w:p w:rsidR="00C308AA" w:rsidRDefault="00C308AA" w:rsidP="00442161">
      <w:pPr>
        <w:pStyle w:val="Geenafstand"/>
        <w:rPr>
          <w:u w:val="single"/>
        </w:rPr>
      </w:pPr>
    </w:p>
    <w:p w:rsidR="00442161" w:rsidRDefault="00442161" w:rsidP="00442161">
      <w:pPr>
        <w:pStyle w:val="Geenafstand"/>
        <w:rPr>
          <w:u w:val="single"/>
        </w:rPr>
      </w:pPr>
      <w:r>
        <w:rPr>
          <w:u w:val="single"/>
        </w:rPr>
        <w:t>Ambitieuze schooleigen normen</w:t>
      </w:r>
    </w:p>
    <w:p w:rsidR="00442161" w:rsidRDefault="00442161" w:rsidP="00442161">
      <w:pPr>
        <w:pStyle w:val="Geenafstand"/>
      </w:pPr>
      <w:r w:rsidRPr="00442161">
        <w:t>Gelet</w:t>
      </w:r>
      <w:r>
        <w:t xml:space="preserve"> op de behaalde resultaten van de afgelopen drie jaar in verhouding tot de signaleringswaarden</w:t>
      </w:r>
      <w:r w:rsidR="00C308AA">
        <w:t>, zijn de schoolnormen voor de komende vier jaar als volgt vastgesteld:</w:t>
      </w:r>
    </w:p>
    <w:p w:rsidR="00C308AA" w:rsidRDefault="00C308AA" w:rsidP="00442161">
      <w:pPr>
        <w:pStyle w:val="Geenafstand"/>
      </w:pPr>
    </w:p>
    <w:p w:rsidR="00C308AA" w:rsidRDefault="00C308AA" w:rsidP="00C308AA">
      <w:pPr>
        <w:pStyle w:val="Geenafstand"/>
        <w:numPr>
          <w:ilvl w:val="0"/>
          <w:numId w:val="1"/>
        </w:numPr>
      </w:pPr>
      <w:r>
        <w:t>70% van de leerlingen haalt het 2F niveau voor lezen</w:t>
      </w:r>
    </w:p>
    <w:p w:rsidR="00C308AA" w:rsidRDefault="00C308AA" w:rsidP="00C308AA">
      <w:pPr>
        <w:pStyle w:val="Geenafstand"/>
        <w:numPr>
          <w:ilvl w:val="0"/>
          <w:numId w:val="1"/>
        </w:numPr>
      </w:pPr>
      <w:r>
        <w:t>50% van de leerlingen haalt het 2F niveau voor taalverzorging</w:t>
      </w:r>
    </w:p>
    <w:p w:rsidR="00C308AA" w:rsidRDefault="00C308AA" w:rsidP="00C308AA">
      <w:pPr>
        <w:pStyle w:val="Geenafstand"/>
        <w:numPr>
          <w:ilvl w:val="0"/>
          <w:numId w:val="1"/>
        </w:numPr>
      </w:pPr>
      <w:r>
        <w:t>45% van de leerlingen haalt het 1S niveau voor rekenen.</w:t>
      </w:r>
    </w:p>
    <w:p w:rsidR="00C42063" w:rsidRDefault="00C42063" w:rsidP="00C42063">
      <w:pPr>
        <w:pStyle w:val="Geenafstand"/>
      </w:pPr>
    </w:p>
    <w:p w:rsidR="00C42063" w:rsidRDefault="00C42063" w:rsidP="00C42063">
      <w:pPr>
        <w:pStyle w:val="Geenafstand"/>
      </w:pPr>
      <w:r w:rsidRPr="00C42063">
        <w:t>Deze norm hanteren w</w:t>
      </w:r>
      <w:r>
        <w:t>e tot het schooljaar 2023</w:t>
      </w:r>
      <w:r w:rsidRPr="00C42063">
        <w:t xml:space="preserve"> en gebruiken we om jaarlijks te reflecteren op de behaalde resultaten.</w:t>
      </w:r>
    </w:p>
    <w:p w:rsidR="00083829" w:rsidRDefault="00083829" w:rsidP="00C42063">
      <w:pPr>
        <w:pStyle w:val="Geenafstand"/>
      </w:pPr>
    </w:p>
    <w:p w:rsidR="00115F5D" w:rsidRPr="00711C42" w:rsidRDefault="00115F5D" w:rsidP="00115F5D">
      <w:pPr>
        <w:pStyle w:val="Geenafstand"/>
        <w:numPr>
          <w:ilvl w:val="0"/>
          <w:numId w:val="1"/>
        </w:numPr>
      </w:pPr>
    </w:p>
    <w:sectPr w:rsidR="00115F5D" w:rsidRPr="00711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28" w:rsidRDefault="00440828" w:rsidP="00440828">
      <w:pPr>
        <w:spacing w:after="0" w:line="240" w:lineRule="auto"/>
      </w:pPr>
      <w:r>
        <w:separator/>
      </w:r>
    </w:p>
  </w:endnote>
  <w:endnote w:type="continuationSeparator" w:id="0">
    <w:p w:rsidR="00440828" w:rsidRDefault="00440828" w:rsidP="0044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28" w:rsidRDefault="00440828" w:rsidP="00440828">
      <w:pPr>
        <w:spacing w:after="0" w:line="240" w:lineRule="auto"/>
      </w:pPr>
      <w:r>
        <w:separator/>
      </w:r>
    </w:p>
  </w:footnote>
  <w:footnote w:type="continuationSeparator" w:id="0">
    <w:p w:rsidR="00440828" w:rsidRDefault="00440828" w:rsidP="00440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0E79"/>
    <w:multiLevelType w:val="hybridMultilevel"/>
    <w:tmpl w:val="6BA64B52"/>
    <w:lvl w:ilvl="0" w:tplc="B1D85272">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44"/>
    <w:rsid w:val="00083829"/>
    <w:rsid w:val="00115F5D"/>
    <w:rsid w:val="00182B16"/>
    <w:rsid w:val="0022069C"/>
    <w:rsid w:val="00240A3B"/>
    <w:rsid w:val="002F3912"/>
    <w:rsid w:val="0041200D"/>
    <w:rsid w:val="00440828"/>
    <w:rsid w:val="00442161"/>
    <w:rsid w:val="00446F56"/>
    <w:rsid w:val="00466BCF"/>
    <w:rsid w:val="00540DF1"/>
    <w:rsid w:val="0067040E"/>
    <w:rsid w:val="006A28DE"/>
    <w:rsid w:val="00711C42"/>
    <w:rsid w:val="00770EC5"/>
    <w:rsid w:val="007B3B5F"/>
    <w:rsid w:val="00863C7C"/>
    <w:rsid w:val="008D492B"/>
    <w:rsid w:val="009351B7"/>
    <w:rsid w:val="00A07844"/>
    <w:rsid w:val="00A41BD9"/>
    <w:rsid w:val="00AF4178"/>
    <w:rsid w:val="00B2601E"/>
    <w:rsid w:val="00C11920"/>
    <w:rsid w:val="00C308AA"/>
    <w:rsid w:val="00C42063"/>
    <w:rsid w:val="00CD6959"/>
    <w:rsid w:val="00E77E74"/>
    <w:rsid w:val="00EC0BA8"/>
    <w:rsid w:val="00F96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7844"/>
    <w:pPr>
      <w:spacing w:after="0" w:line="240" w:lineRule="auto"/>
    </w:pPr>
  </w:style>
  <w:style w:type="paragraph" w:styleId="Normaalweb">
    <w:name w:val="Normal (Web)"/>
    <w:basedOn w:val="Standaard"/>
    <w:uiPriority w:val="99"/>
    <w:semiHidden/>
    <w:unhideWhenUsed/>
    <w:rsid w:val="00770EC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AF4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408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828"/>
  </w:style>
  <w:style w:type="paragraph" w:styleId="Voettekst">
    <w:name w:val="footer"/>
    <w:basedOn w:val="Standaard"/>
    <w:link w:val="VoettekstChar"/>
    <w:uiPriority w:val="99"/>
    <w:unhideWhenUsed/>
    <w:rsid w:val="004408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828"/>
  </w:style>
  <w:style w:type="paragraph" w:styleId="Ballontekst">
    <w:name w:val="Balloon Text"/>
    <w:basedOn w:val="Standaard"/>
    <w:link w:val="BallontekstChar"/>
    <w:uiPriority w:val="99"/>
    <w:semiHidden/>
    <w:unhideWhenUsed/>
    <w:rsid w:val="008D49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4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7844"/>
    <w:pPr>
      <w:spacing w:after="0" w:line="240" w:lineRule="auto"/>
    </w:pPr>
  </w:style>
  <w:style w:type="paragraph" w:styleId="Normaalweb">
    <w:name w:val="Normal (Web)"/>
    <w:basedOn w:val="Standaard"/>
    <w:uiPriority w:val="99"/>
    <w:semiHidden/>
    <w:unhideWhenUsed/>
    <w:rsid w:val="00770EC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AF4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408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828"/>
  </w:style>
  <w:style w:type="paragraph" w:styleId="Voettekst">
    <w:name w:val="footer"/>
    <w:basedOn w:val="Standaard"/>
    <w:link w:val="VoettekstChar"/>
    <w:uiPriority w:val="99"/>
    <w:unhideWhenUsed/>
    <w:rsid w:val="004408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828"/>
  </w:style>
  <w:style w:type="paragraph" w:styleId="Ballontekst">
    <w:name w:val="Balloon Text"/>
    <w:basedOn w:val="Standaard"/>
    <w:link w:val="BallontekstChar"/>
    <w:uiPriority w:val="99"/>
    <w:semiHidden/>
    <w:unhideWhenUsed/>
    <w:rsid w:val="008D49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4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helena.devries</dc:creator>
  <cp:lastModifiedBy>helena.devries</cp:lastModifiedBy>
  <cp:revision>2</cp:revision>
  <dcterms:created xsi:type="dcterms:W3CDTF">2020-06-25T07:35:00Z</dcterms:created>
  <dcterms:modified xsi:type="dcterms:W3CDTF">2020-06-25T07:35:00Z</dcterms:modified>
</cp:coreProperties>
</file>