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EF" w:rsidRPr="000D6649" w:rsidRDefault="002E3BEF" w:rsidP="002E3BEF">
      <w:pPr>
        <w:pStyle w:val="Kop3"/>
      </w:pPr>
      <w:bookmarkStart w:id="0" w:name="_Toc20758185"/>
      <w:r>
        <w:t xml:space="preserve">leerplicht </w:t>
      </w:r>
      <w:bookmarkStart w:id="1" w:name="_GoBack"/>
      <w:bookmarkEnd w:id="1"/>
      <w:r>
        <w:t>en verlof</w:t>
      </w:r>
      <w:bookmarkEnd w:id="0"/>
    </w:p>
    <w:p w:rsidR="002E3BEF" w:rsidRPr="000D6649" w:rsidRDefault="002E3BEF" w:rsidP="002E3BEF">
      <w:pPr>
        <w:contextualSpacing/>
      </w:pPr>
      <w:r w:rsidRPr="000D6649">
        <w:t xml:space="preserve">Als uw kind 4 jaar wordt, mag het tot de basisschool worden toegelaten. Vanaf hun vijfde jaar zijn alle kinderen in Nederland leerplichtig en vallen de leerlingen onder de leerplichtwet. </w:t>
      </w:r>
    </w:p>
    <w:p w:rsidR="002E3BEF" w:rsidRPr="000D6649" w:rsidRDefault="002E3BEF" w:rsidP="002E3BEF">
      <w:pPr>
        <w:pStyle w:val="Kop3"/>
      </w:pPr>
      <w:bookmarkStart w:id="2" w:name="_Toc20758186"/>
      <w:r>
        <w:t>de verplichting van het melden van schoolverzuim</w:t>
      </w:r>
      <w:bookmarkEnd w:id="2"/>
    </w:p>
    <w:p w:rsidR="002E3BEF" w:rsidRDefault="002E3BEF" w:rsidP="002E3BEF">
      <w:pPr>
        <w:contextualSpacing/>
      </w:pPr>
      <w:r w:rsidRPr="000D6649">
        <w:t xml:space="preserve">De schooldirecteur heeft de verplichting al het ongeoorloofd schoolverzuim te melden bij de leerplichtambtenaar. </w:t>
      </w:r>
      <w:r>
        <w:t xml:space="preserve">Sinds april 2017 is er een directe koppeling tussen ons administratiesysteem, waarin wij de absenten registeren, en BRON, een programma van de overheid. Zo houdt de overheid en daarmee </w:t>
      </w:r>
      <w:r w:rsidRPr="000D6649">
        <w:t>de leerplichtambtenaar</w:t>
      </w:r>
      <w:r>
        <w:t xml:space="preserve"> bij wie er wel en niet op school is</w:t>
      </w:r>
      <w:r w:rsidRPr="000D6649">
        <w:t>. Er dient ook gemeld te worden als ouders verlof hebben aangevraagd, dit niet hebben gekregen, en de ouders het kind die bewuste dag ziek melden of thuishouden van school.</w:t>
      </w:r>
    </w:p>
    <w:p w:rsidR="002E3BEF" w:rsidRDefault="002E3BEF" w:rsidP="002E3BEF">
      <w:pPr>
        <w:contextualSpacing/>
      </w:pPr>
    </w:p>
    <w:p w:rsidR="002E3BEF" w:rsidRPr="000D6649" w:rsidRDefault="002E3BEF" w:rsidP="002E3BEF">
      <w:pPr>
        <w:pStyle w:val="Kop3"/>
      </w:pPr>
      <w:bookmarkStart w:id="3" w:name="_Toc20758187"/>
      <w:r>
        <w:t>H</w:t>
      </w:r>
      <w:r>
        <w:t>ET TOEKENNEN VAN VERLOF</w:t>
      </w:r>
      <w:bookmarkEnd w:id="3"/>
    </w:p>
    <w:p w:rsidR="002E3BEF" w:rsidRDefault="002E3BEF" w:rsidP="002E3BEF">
      <w:pPr>
        <w:contextualSpacing/>
      </w:pPr>
      <w:r w:rsidRPr="000D6649">
        <w:t>Het is belangrijk alleen verlof te verlenen op de juiste gronden. Hieronder nog even de belangrijkste regels voor het wel/niet toekennen van verlof dat onder ‘gewichtige omstandigheden’  valt:</w:t>
      </w:r>
    </w:p>
    <w:p w:rsidR="002E3BEF" w:rsidRPr="000D6649" w:rsidRDefault="002E3BEF" w:rsidP="002E3BEF">
      <w:pPr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1922"/>
      </w:tblGrid>
      <w:tr w:rsidR="002E3BEF" w:rsidRPr="000D6649" w:rsidTr="00A55F94">
        <w:tc>
          <w:tcPr>
            <w:tcW w:w="2518" w:type="dxa"/>
          </w:tcPr>
          <w:p w:rsidR="002E3BEF" w:rsidRPr="000D6649" w:rsidRDefault="002E3BEF" w:rsidP="00A55F94">
            <w:pPr>
              <w:contextualSpacing/>
            </w:pPr>
            <w:r w:rsidRPr="000D6649">
              <w:t>Gewichtige omstandigheid</w:t>
            </w:r>
          </w:p>
        </w:tc>
        <w:tc>
          <w:tcPr>
            <w:tcW w:w="3827" w:type="dxa"/>
          </w:tcPr>
          <w:p w:rsidR="002E3BEF" w:rsidRPr="000D6649" w:rsidRDefault="002E3BEF" w:rsidP="00A55F94">
            <w:pPr>
              <w:contextualSpacing/>
            </w:pPr>
            <w:r w:rsidRPr="000D6649">
              <w:t>Aanvullende informatie/ voorbeeld</w:t>
            </w:r>
          </w:p>
        </w:tc>
        <w:tc>
          <w:tcPr>
            <w:tcW w:w="1922" w:type="dxa"/>
          </w:tcPr>
          <w:p w:rsidR="002E3BEF" w:rsidRPr="000D6649" w:rsidRDefault="002E3BEF" w:rsidP="00A55F94">
            <w:pPr>
              <w:contextualSpacing/>
            </w:pPr>
            <w:r w:rsidRPr="000D6649">
              <w:t>Aantal schooldagen</w:t>
            </w:r>
          </w:p>
        </w:tc>
      </w:tr>
      <w:tr w:rsidR="002E3BEF" w:rsidRPr="000D6649" w:rsidTr="00A55F94">
        <w:tc>
          <w:tcPr>
            <w:tcW w:w="2518" w:type="dxa"/>
          </w:tcPr>
          <w:p w:rsidR="002E3BEF" w:rsidRPr="000D6649" w:rsidRDefault="002E3BEF" w:rsidP="00A55F94">
            <w:pPr>
              <w:contextualSpacing/>
            </w:pPr>
            <w:r w:rsidRPr="000D6649">
              <w:t>Verhuizen</w:t>
            </w:r>
          </w:p>
        </w:tc>
        <w:tc>
          <w:tcPr>
            <w:tcW w:w="3827" w:type="dxa"/>
          </w:tcPr>
          <w:p w:rsidR="002E3BEF" w:rsidRPr="000D6649" w:rsidRDefault="002E3BEF" w:rsidP="00A55F94">
            <w:pPr>
              <w:contextualSpacing/>
            </w:pPr>
          </w:p>
        </w:tc>
        <w:tc>
          <w:tcPr>
            <w:tcW w:w="1922" w:type="dxa"/>
          </w:tcPr>
          <w:p w:rsidR="002E3BEF" w:rsidRPr="000D6649" w:rsidRDefault="002E3BEF" w:rsidP="00A55F94">
            <w:pPr>
              <w:contextualSpacing/>
            </w:pPr>
            <w:r w:rsidRPr="000D6649">
              <w:t xml:space="preserve">1 </w:t>
            </w:r>
          </w:p>
        </w:tc>
      </w:tr>
      <w:tr w:rsidR="002E3BEF" w:rsidRPr="000D6649" w:rsidTr="00A55F94">
        <w:tc>
          <w:tcPr>
            <w:tcW w:w="2518" w:type="dxa"/>
          </w:tcPr>
          <w:p w:rsidR="002E3BEF" w:rsidRPr="000D6649" w:rsidRDefault="002E3BEF" w:rsidP="00A55F94">
            <w:pPr>
              <w:contextualSpacing/>
            </w:pPr>
            <w:r w:rsidRPr="000D6649">
              <w:t xml:space="preserve">Bij 25, 40 of 50 jarig ambtsjubileum en het 12 ½, 25, 40, 50 en 60 jarig </w:t>
            </w:r>
          </w:p>
          <w:p w:rsidR="002E3BEF" w:rsidRPr="000D6649" w:rsidRDefault="002E3BEF" w:rsidP="00A55F94">
            <w:pPr>
              <w:contextualSpacing/>
            </w:pPr>
            <w:r w:rsidRPr="000D6649">
              <w:t xml:space="preserve">huwelijksjubileum van ouder(s)/verzorger(s) of grootouders </w:t>
            </w:r>
          </w:p>
        </w:tc>
        <w:tc>
          <w:tcPr>
            <w:tcW w:w="3827" w:type="dxa"/>
          </w:tcPr>
          <w:p w:rsidR="002E3BEF" w:rsidRPr="000D6649" w:rsidRDefault="002E3BEF" w:rsidP="00A55F94">
            <w:pPr>
              <w:contextualSpacing/>
            </w:pPr>
            <w:r w:rsidRPr="000D6649">
              <w:t>dus geen verjaardag opa/oma (zie Kroonjaren)</w:t>
            </w:r>
          </w:p>
          <w:p w:rsidR="002E3BEF" w:rsidRPr="000D6649" w:rsidRDefault="002E3BEF" w:rsidP="00A55F94">
            <w:pPr>
              <w:contextualSpacing/>
            </w:pPr>
          </w:p>
        </w:tc>
        <w:tc>
          <w:tcPr>
            <w:tcW w:w="1922" w:type="dxa"/>
          </w:tcPr>
          <w:p w:rsidR="002E3BEF" w:rsidRPr="000D6649" w:rsidRDefault="002E3BEF" w:rsidP="00A55F94">
            <w:pPr>
              <w:contextualSpacing/>
            </w:pPr>
            <w:r w:rsidRPr="000D6649">
              <w:t>1</w:t>
            </w:r>
          </w:p>
        </w:tc>
      </w:tr>
      <w:tr w:rsidR="002E3BEF" w:rsidRPr="000D6649" w:rsidTr="00A55F94">
        <w:trPr>
          <w:trHeight w:val="137"/>
        </w:trPr>
        <w:tc>
          <w:tcPr>
            <w:tcW w:w="2518" w:type="dxa"/>
          </w:tcPr>
          <w:p w:rsidR="002E3BEF" w:rsidRPr="000D6649" w:rsidRDefault="002E3BEF" w:rsidP="00A55F94">
            <w:pPr>
              <w:contextualSpacing/>
            </w:pPr>
            <w:r w:rsidRPr="000D6649">
              <w:t xml:space="preserve">Voor het bijwonen van het huwelijk van bloed- of aanverwant tot en </w:t>
            </w:r>
          </w:p>
          <w:p w:rsidR="002E3BEF" w:rsidRPr="000D6649" w:rsidRDefault="002E3BEF" w:rsidP="00A55F94">
            <w:pPr>
              <w:contextualSpacing/>
            </w:pPr>
          </w:p>
          <w:p w:rsidR="002E3BEF" w:rsidRPr="000D6649" w:rsidRDefault="002E3BEF" w:rsidP="00A55F94">
            <w:pPr>
              <w:contextualSpacing/>
            </w:pPr>
            <w:r w:rsidRPr="000D6649">
              <w:t xml:space="preserve">met de 3e graad </w:t>
            </w:r>
          </w:p>
        </w:tc>
        <w:tc>
          <w:tcPr>
            <w:tcW w:w="3827" w:type="dxa"/>
          </w:tcPr>
          <w:p w:rsidR="002E3BEF" w:rsidRPr="000D6649" w:rsidRDefault="002E3BEF" w:rsidP="00A55F94">
            <w:pPr>
              <w:contextualSpacing/>
            </w:pPr>
            <w:r w:rsidRPr="000D6649">
              <w:t>bewijs: trouwkaart of kopie trouwakte.</w:t>
            </w:r>
          </w:p>
          <w:p w:rsidR="002E3BEF" w:rsidRPr="000D6649" w:rsidRDefault="002E3BEF" w:rsidP="00A55F94">
            <w:pPr>
              <w:contextualSpacing/>
            </w:pPr>
            <w:r w:rsidRPr="000D6649">
              <w:t xml:space="preserve">Voor het bijwonen van het huwelijk van bloed- of aanverwant tot en </w:t>
            </w:r>
          </w:p>
          <w:p w:rsidR="002E3BEF" w:rsidRPr="000D6649" w:rsidRDefault="002E3BEF" w:rsidP="00A55F94">
            <w:pPr>
              <w:contextualSpacing/>
            </w:pPr>
            <w:r w:rsidRPr="000D6649">
              <w:t xml:space="preserve">met de 3e graad (in Nederland maximaal 2 dagen indien ver gereisd moet worden, anders maximaal 1 dag, in het buitenland maximaal 5 dagen </w:t>
            </w:r>
          </w:p>
        </w:tc>
        <w:tc>
          <w:tcPr>
            <w:tcW w:w="1922" w:type="dxa"/>
          </w:tcPr>
          <w:p w:rsidR="002E3BEF" w:rsidRPr="000D6649" w:rsidRDefault="002E3BEF" w:rsidP="00A55F94">
            <w:pPr>
              <w:contextualSpacing/>
            </w:pPr>
            <w:r w:rsidRPr="000D6649">
              <w:t>1, 2 of 5</w:t>
            </w:r>
          </w:p>
        </w:tc>
      </w:tr>
      <w:tr w:rsidR="002E3BEF" w:rsidRPr="000D6649" w:rsidTr="00A55F94">
        <w:tc>
          <w:tcPr>
            <w:tcW w:w="2518" w:type="dxa"/>
          </w:tcPr>
          <w:p w:rsidR="002E3BEF" w:rsidRPr="000D6649" w:rsidRDefault="002E3BEF" w:rsidP="00A55F94">
            <w:pPr>
              <w:contextualSpacing/>
            </w:pPr>
            <w:r w:rsidRPr="000D6649">
              <w:t xml:space="preserve">Bij overlijden van bloed- of aanverwant </w:t>
            </w:r>
          </w:p>
          <w:p w:rsidR="002E3BEF" w:rsidRPr="000D6649" w:rsidRDefault="002E3BEF" w:rsidP="00A55F94">
            <w:pPr>
              <w:contextualSpacing/>
            </w:pPr>
          </w:p>
        </w:tc>
        <w:tc>
          <w:tcPr>
            <w:tcW w:w="3827" w:type="dxa"/>
          </w:tcPr>
          <w:p w:rsidR="002E3BEF" w:rsidRPr="000D6649" w:rsidRDefault="002E3BEF" w:rsidP="00A55F94">
            <w:pPr>
              <w:contextualSpacing/>
            </w:pPr>
            <w:r w:rsidRPr="000D6649">
              <w:t>bewijs: rouwkaart of akte van overlijden.</w:t>
            </w:r>
          </w:p>
          <w:p w:rsidR="002E3BEF" w:rsidRPr="000D6649" w:rsidRDefault="002E3BEF" w:rsidP="00A55F94">
            <w:pPr>
              <w:contextualSpacing/>
            </w:pPr>
            <w:r w:rsidRPr="000D6649">
              <w:t>1e graad maximaal 5 dagen, 2e graad maximaal 2 dagen, 3e en 4e graad maximaal 1 dag, in het buitenland 1e t/m 4e graad maximaal 5 dagen</w:t>
            </w:r>
          </w:p>
        </w:tc>
        <w:tc>
          <w:tcPr>
            <w:tcW w:w="1922" w:type="dxa"/>
          </w:tcPr>
          <w:p w:rsidR="002E3BEF" w:rsidRPr="000D6649" w:rsidRDefault="002E3BEF" w:rsidP="00A55F94">
            <w:pPr>
              <w:contextualSpacing/>
            </w:pPr>
            <w:r w:rsidRPr="000D6649">
              <w:t>1, 2 of 5</w:t>
            </w:r>
          </w:p>
        </w:tc>
      </w:tr>
      <w:tr w:rsidR="002E3BEF" w:rsidRPr="000D6649" w:rsidTr="00A55F94">
        <w:tc>
          <w:tcPr>
            <w:tcW w:w="2518" w:type="dxa"/>
          </w:tcPr>
          <w:p w:rsidR="002E3BEF" w:rsidRPr="000D6649" w:rsidRDefault="002E3BEF" w:rsidP="00A55F94">
            <w:pPr>
              <w:contextualSpacing/>
            </w:pPr>
            <w:r w:rsidRPr="000D6649">
              <w:t xml:space="preserve">Het voldoen van wettelijke verplichtingen voor zover dit niet buiten de lesuren kan geschieden </w:t>
            </w:r>
          </w:p>
        </w:tc>
        <w:tc>
          <w:tcPr>
            <w:tcW w:w="3827" w:type="dxa"/>
          </w:tcPr>
          <w:p w:rsidR="002E3BEF" w:rsidRPr="000D6649" w:rsidRDefault="002E3BEF" w:rsidP="00A55F94">
            <w:pPr>
              <w:contextualSpacing/>
            </w:pPr>
            <w:r w:rsidRPr="000D6649">
              <w:t>Bijvoorbeeld: paspoort aanvragen in het buitenland</w:t>
            </w:r>
          </w:p>
        </w:tc>
        <w:tc>
          <w:tcPr>
            <w:tcW w:w="1922" w:type="dxa"/>
          </w:tcPr>
          <w:p w:rsidR="002E3BEF" w:rsidRPr="000D6649" w:rsidRDefault="002E3BEF" w:rsidP="00A55F94">
            <w:pPr>
              <w:contextualSpacing/>
            </w:pPr>
            <w:r w:rsidRPr="000D6649">
              <w:t xml:space="preserve">Maximaal 10 </w:t>
            </w:r>
          </w:p>
        </w:tc>
      </w:tr>
      <w:tr w:rsidR="002E3BEF" w:rsidRPr="000D6649" w:rsidTr="00A55F94">
        <w:tc>
          <w:tcPr>
            <w:tcW w:w="2518" w:type="dxa"/>
          </w:tcPr>
          <w:p w:rsidR="002E3BEF" w:rsidRPr="000D6649" w:rsidRDefault="002E3BEF" w:rsidP="00A55F94">
            <w:pPr>
              <w:contextualSpacing/>
            </w:pPr>
            <w:r w:rsidRPr="000D6649">
              <w:t>Gezien de specifieke aard van het beroep van één van de ouders</w:t>
            </w:r>
          </w:p>
        </w:tc>
        <w:tc>
          <w:tcPr>
            <w:tcW w:w="3827" w:type="dxa"/>
          </w:tcPr>
          <w:p w:rsidR="002E3BEF" w:rsidRPr="000D6649" w:rsidRDefault="002E3BEF" w:rsidP="00A55F94">
            <w:pPr>
              <w:contextualSpacing/>
            </w:pPr>
            <w:r w:rsidRPr="000D6649">
              <w:t>Als het gaat om de gezinsvakantie  die niet in de schoolvakantie kan worden opgenomen.</w:t>
            </w:r>
          </w:p>
          <w:p w:rsidR="002E3BEF" w:rsidRPr="000D6649" w:rsidRDefault="002E3BEF" w:rsidP="00A55F94">
            <w:pPr>
              <w:contextualSpacing/>
            </w:pPr>
            <w:r w:rsidRPr="000D6649">
              <w:t>Bewijs: Een werkgeversverklaring waaruit dit blijkt</w:t>
            </w:r>
          </w:p>
        </w:tc>
        <w:tc>
          <w:tcPr>
            <w:tcW w:w="1922" w:type="dxa"/>
          </w:tcPr>
          <w:p w:rsidR="002E3BEF" w:rsidRPr="000D6649" w:rsidRDefault="002E3BEF" w:rsidP="00A55F94">
            <w:pPr>
              <w:contextualSpacing/>
            </w:pPr>
            <w:r w:rsidRPr="000D6649">
              <w:t>Maximaal 10</w:t>
            </w:r>
          </w:p>
        </w:tc>
      </w:tr>
      <w:tr w:rsidR="002E3BEF" w:rsidRPr="000D6649" w:rsidTr="00A55F94">
        <w:tc>
          <w:tcPr>
            <w:tcW w:w="2518" w:type="dxa"/>
          </w:tcPr>
          <w:p w:rsidR="002E3BEF" w:rsidRPr="000D6649" w:rsidRDefault="002E3BEF" w:rsidP="00A55F94">
            <w:pPr>
              <w:contextualSpacing/>
            </w:pPr>
            <w:r w:rsidRPr="000D6649">
              <w:t xml:space="preserve">Bij ernstige levensbedreigende ziekte zonder uitzicht op herstel van  bloed- of aanverwant tot en met de 3e graad </w:t>
            </w:r>
          </w:p>
        </w:tc>
        <w:tc>
          <w:tcPr>
            <w:tcW w:w="3827" w:type="dxa"/>
          </w:tcPr>
          <w:p w:rsidR="002E3BEF" w:rsidRPr="000D6649" w:rsidRDefault="002E3BEF" w:rsidP="00A55F94">
            <w:pPr>
              <w:contextualSpacing/>
            </w:pPr>
            <w:r w:rsidRPr="000D6649">
              <w:t>bewijs: doktersverklaring</w:t>
            </w:r>
          </w:p>
        </w:tc>
        <w:tc>
          <w:tcPr>
            <w:tcW w:w="1922" w:type="dxa"/>
          </w:tcPr>
          <w:p w:rsidR="002E3BEF" w:rsidRPr="000D6649" w:rsidRDefault="002E3BEF" w:rsidP="00A55F94">
            <w:pPr>
              <w:contextualSpacing/>
            </w:pPr>
            <w:r w:rsidRPr="000D6649">
              <w:t xml:space="preserve">Maximaal 10 </w:t>
            </w:r>
            <w:r w:rsidRPr="000D6649">
              <w:tab/>
            </w:r>
          </w:p>
        </w:tc>
      </w:tr>
      <w:tr w:rsidR="002E3BEF" w:rsidRPr="000D6649" w:rsidTr="00A55F94">
        <w:tc>
          <w:tcPr>
            <w:tcW w:w="2518" w:type="dxa"/>
          </w:tcPr>
          <w:p w:rsidR="002E3BEF" w:rsidRPr="000D6649" w:rsidRDefault="002E3BEF" w:rsidP="00A55F94">
            <w:pPr>
              <w:contextualSpacing/>
            </w:pPr>
            <w:r w:rsidRPr="000D6649">
              <w:t xml:space="preserve">Voor andere, naar het oordeel van het hoofd van de school/instelling, </w:t>
            </w:r>
          </w:p>
          <w:p w:rsidR="002E3BEF" w:rsidRPr="000D6649" w:rsidRDefault="002E3BEF" w:rsidP="00A55F94">
            <w:pPr>
              <w:contextualSpacing/>
            </w:pPr>
            <w:r w:rsidRPr="000D6649">
              <w:lastRenderedPageBreak/>
              <w:t xml:space="preserve">gewichtige omstandigheden. </w:t>
            </w:r>
          </w:p>
        </w:tc>
        <w:tc>
          <w:tcPr>
            <w:tcW w:w="3827" w:type="dxa"/>
          </w:tcPr>
          <w:p w:rsidR="002E3BEF" w:rsidRPr="000D6649" w:rsidRDefault="002E3BEF" w:rsidP="00A55F94">
            <w:pPr>
              <w:contextualSpacing/>
            </w:pPr>
            <w:r w:rsidRPr="000D6649">
              <w:lastRenderedPageBreak/>
              <w:t>Bijvoorbeeld: ernstige ziekte binnen de familie</w:t>
            </w:r>
          </w:p>
        </w:tc>
        <w:tc>
          <w:tcPr>
            <w:tcW w:w="1922" w:type="dxa"/>
          </w:tcPr>
          <w:p w:rsidR="002E3BEF" w:rsidRPr="000D6649" w:rsidRDefault="002E3BEF" w:rsidP="00A55F94">
            <w:pPr>
              <w:contextualSpacing/>
            </w:pPr>
            <w:r w:rsidRPr="000D6649">
              <w:t>Maximaal 10</w:t>
            </w:r>
          </w:p>
        </w:tc>
      </w:tr>
    </w:tbl>
    <w:p w:rsidR="002E3BEF" w:rsidRDefault="002E3BEF" w:rsidP="002E3BEF">
      <w:pPr>
        <w:contextualSpacing/>
      </w:pPr>
    </w:p>
    <w:p w:rsidR="002E3BEF" w:rsidRDefault="002E3BEF" w:rsidP="002E3BEF">
      <w:pPr>
        <w:contextualSpacing/>
      </w:pPr>
    </w:p>
    <w:p w:rsidR="002E3BEF" w:rsidRPr="00FA6F6E" w:rsidRDefault="002E3BEF" w:rsidP="002E3BEF">
      <w:pPr>
        <w:contextualSpacing/>
        <w:rPr>
          <w:b/>
        </w:rPr>
      </w:pPr>
      <w:r w:rsidRPr="00FA6F6E">
        <w:rPr>
          <w:b/>
        </w:rPr>
        <w:t>Er kan geen verlof worden verleend in voorkomende gevallen zoals bijvoorbeeld</w:t>
      </w:r>
      <w:r>
        <w:rPr>
          <w:b/>
        </w:rPr>
        <w:t>:</w:t>
      </w:r>
    </w:p>
    <w:p w:rsidR="002E3BEF" w:rsidRPr="000D6649" w:rsidRDefault="002E3BEF" w:rsidP="002E3BEF">
      <w:pPr>
        <w:pStyle w:val="Lijstalinea"/>
        <w:numPr>
          <w:ilvl w:val="0"/>
          <w:numId w:val="1"/>
        </w:numPr>
      </w:pPr>
      <w:r w:rsidRPr="000D6649">
        <w:t>Familiebezoek in het buitenland</w:t>
      </w:r>
    </w:p>
    <w:p w:rsidR="002E3BEF" w:rsidRPr="000D6649" w:rsidRDefault="002E3BEF" w:rsidP="002E3BEF">
      <w:pPr>
        <w:pStyle w:val="Lijstalinea"/>
        <w:numPr>
          <w:ilvl w:val="0"/>
          <w:numId w:val="1"/>
        </w:numPr>
      </w:pPr>
      <w:r w:rsidRPr="000D6649">
        <w:t>Goedkope tickets</w:t>
      </w:r>
    </w:p>
    <w:p w:rsidR="002E3BEF" w:rsidRPr="000D6649" w:rsidRDefault="002E3BEF" w:rsidP="002E3BEF">
      <w:pPr>
        <w:pStyle w:val="Lijstalinea"/>
        <w:numPr>
          <w:ilvl w:val="0"/>
          <w:numId w:val="1"/>
        </w:numPr>
      </w:pPr>
      <w:r w:rsidRPr="000D6649">
        <w:t>Omdat tickets al gekocht zijn of er geen tickets meer zijn in de vakantie periode</w:t>
      </w:r>
    </w:p>
    <w:p w:rsidR="002E3BEF" w:rsidRPr="000D6649" w:rsidRDefault="002E3BEF" w:rsidP="002E3BEF">
      <w:pPr>
        <w:pStyle w:val="Lijstalinea"/>
        <w:numPr>
          <w:ilvl w:val="0"/>
          <w:numId w:val="1"/>
        </w:numPr>
      </w:pPr>
      <w:r w:rsidRPr="000D6649">
        <w:t>Vakantiespreiding</w:t>
      </w:r>
    </w:p>
    <w:p w:rsidR="002E3BEF" w:rsidRPr="000D6649" w:rsidRDefault="002E3BEF" w:rsidP="002E3BEF">
      <w:pPr>
        <w:pStyle w:val="Lijstalinea"/>
        <w:numPr>
          <w:ilvl w:val="0"/>
          <w:numId w:val="1"/>
        </w:numPr>
      </w:pPr>
      <w:r w:rsidRPr="000D6649">
        <w:t>Verlof voor een kind omdat de andere kinderen uit een gezin al/nog vrij zijn</w:t>
      </w:r>
    </w:p>
    <w:p w:rsidR="002E3BEF" w:rsidRPr="000D6649" w:rsidRDefault="002E3BEF" w:rsidP="002E3BEF">
      <w:pPr>
        <w:pStyle w:val="Lijstalinea"/>
        <w:numPr>
          <w:ilvl w:val="0"/>
          <w:numId w:val="1"/>
        </w:numPr>
      </w:pPr>
      <w:r w:rsidRPr="000D6649">
        <w:t>Eerder vertrek of latere terugkomst in verband met verkeersdrukte</w:t>
      </w:r>
    </w:p>
    <w:p w:rsidR="002E3BEF" w:rsidRPr="000D6649" w:rsidRDefault="002E3BEF" w:rsidP="002E3BEF">
      <w:pPr>
        <w:pStyle w:val="Lijstalinea"/>
        <w:numPr>
          <w:ilvl w:val="0"/>
          <w:numId w:val="1"/>
        </w:numPr>
      </w:pPr>
      <w:r w:rsidRPr="000D6649">
        <w:t>Samen reizen/in konvooi rijden door bijvoorbeeld de Balkan</w:t>
      </w:r>
    </w:p>
    <w:p w:rsidR="002E3BEF" w:rsidRPr="000D6649" w:rsidRDefault="002E3BEF" w:rsidP="002E3BEF">
      <w:pPr>
        <w:pStyle w:val="Lijstalinea"/>
        <w:numPr>
          <w:ilvl w:val="0"/>
          <w:numId w:val="1"/>
        </w:numPr>
      </w:pPr>
      <w:r w:rsidRPr="000D6649">
        <w:t>Kroonjaren (verjaardag 40, 50, 65 jaar etc.)</w:t>
      </w:r>
    </w:p>
    <w:p w:rsidR="002E3BEF" w:rsidRPr="000D6649" w:rsidRDefault="002E3BEF" w:rsidP="002E3BEF">
      <w:pPr>
        <w:pStyle w:val="Lijstalinea"/>
        <w:numPr>
          <w:ilvl w:val="0"/>
          <w:numId w:val="1"/>
        </w:numPr>
      </w:pPr>
      <w:r w:rsidRPr="000D6649">
        <w:t>Wereldreis/verre reis</w:t>
      </w:r>
    </w:p>
    <w:p w:rsidR="002E3BEF" w:rsidRPr="000D6649" w:rsidRDefault="002E3BEF" w:rsidP="002E3BEF">
      <w:pPr>
        <w:pStyle w:val="Lijstalinea"/>
        <w:numPr>
          <w:ilvl w:val="0"/>
          <w:numId w:val="1"/>
        </w:numPr>
      </w:pPr>
      <w:r w:rsidRPr="000D6649">
        <w:t>Gewonnen/gekregen vakantie</w:t>
      </w:r>
    </w:p>
    <w:p w:rsidR="002E3BEF" w:rsidRPr="000D6649" w:rsidRDefault="002E3BEF" w:rsidP="002E3BEF">
      <w:pPr>
        <w:pStyle w:val="Lijstalinea"/>
        <w:numPr>
          <w:ilvl w:val="0"/>
          <w:numId w:val="1"/>
        </w:numPr>
      </w:pPr>
      <w:r w:rsidRPr="000D6649">
        <w:t>Familie reünie</w:t>
      </w:r>
    </w:p>
    <w:p w:rsidR="002E3BEF" w:rsidRPr="000D6649" w:rsidRDefault="002E3BEF" w:rsidP="002E3BEF">
      <w:pPr>
        <w:pStyle w:val="Lijstalinea"/>
        <w:numPr>
          <w:ilvl w:val="0"/>
          <w:numId w:val="1"/>
        </w:numPr>
      </w:pPr>
      <w:r w:rsidRPr="000D6649">
        <w:t>Activiteiten van verenigingen, zoals scouting- of voetbalkamp</w:t>
      </w:r>
    </w:p>
    <w:p w:rsidR="00C9007A" w:rsidRDefault="00C9007A"/>
    <w:sectPr w:rsidR="00C90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BEF" w:rsidRDefault="002E3BEF" w:rsidP="002E3BEF">
      <w:pPr>
        <w:spacing w:before="0" w:after="0"/>
      </w:pPr>
      <w:r>
        <w:separator/>
      </w:r>
    </w:p>
  </w:endnote>
  <w:endnote w:type="continuationSeparator" w:id="0">
    <w:p w:rsidR="002E3BEF" w:rsidRDefault="002E3BEF" w:rsidP="002E3B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BEF" w:rsidRDefault="002E3BEF" w:rsidP="002E3BEF">
      <w:pPr>
        <w:spacing w:before="0" w:after="0"/>
      </w:pPr>
      <w:r>
        <w:separator/>
      </w:r>
    </w:p>
  </w:footnote>
  <w:footnote w:type="continuationSeparator" w:id="0">
    <w:p w:rsidR="002E3BEF" w:rsidRDefault="002E3BEF" w:rsidP="002E3BE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E7BEC"/>
    <w:multiLevelType w:val="hybridMultilevel"/>
    <w:tmpl w:val="C4FA24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EF"/>
    <w:rsid w:val="002E3BEF"/>
    <w:rsid w:val="00C9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00C5"/>
  <w15:chartTrackingRefBased/>
  <w15:docId w15:val="{650A53E7-7370-43FC-936A-1B78FAA6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3BEF"/>
    <w:pPr>
      <w:spacing w:before="100" w:after="200" w:line="240" w:lineRule="auto"/>
    </w:pPr>
    <w:rPr>
      <w:rFonts w:ascii="Verdana" w:eastAsiaTheme="minorEastAsia" w:hAnsi="Verdana"/>
      <w:sz w:val="18"/>
      <w:szCs w:val="2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E3BE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2E3BEF"/>
    <w:rPr>
      <w:rFonts w:ascii="Verdana" w:eastAsiaTheme="minorEastAsia" w:hAnsi="Verdana"/>
      <w:caps/>
      <w:color w:val="1F4D78" w:themeColor="accent1" w:themeShade="7F"/>
      <w:spacing w:val="15"/>
      <w:sz w:val="18"/>
      <w:szCs w:val="20"/>
    </w:rPr>
  </w:style>
  <w:style w:type="paragraph" w:styleId="Lijstalinea">
    <w:name w:val="List Paragraph"/>
    <w:basedOn w:val="Standaard"/>
    <w:uiPriority w:val="34"/>
    <w:qFormat/>
    <w:rsid w:val="002E3BE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E3BEF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2E3BEF"/>
    <w:rPr>
      <w:rFonts w:ascii="Verdana" w:eastAsiaTheme="minorEastAsia" w:hAnsi="Verdana"/>
      <w:sz w:val="18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2E3BEF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3BEF"/>
    <w:rPr>
      <w:rFonts w:ascii="Verdana" w:eastAsiaTheme="minorEastAsia" w:hAnsi="Verdan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Heemskerk</dc:creator>
  <cp:keywords/>
  <dc:description/>
  <cp:lastModifiedBy>Anouk Heemskerk</cp:lastModifiedBy>
  <cp:revision>1</cp:revision>
  <dcterms:created xsi:type="dcterms:W3CDTF">2019-11-11T14:22:00Z</dcterms:created>
  <dcterms:modified xsi:type="dcterms:W3CDTF">2019-11-11T14:23:00Z</dcterms:modified>
</cp:coreProperties>
</file>