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A9AE" w14:textId="3E5862E0" w:rsidR="00EA50B8" w:rsidRPr="00302BEE" w:rsidRDefault="00302BEE">
      <w:pPr>
        <w:rPr>
          <w:b/>
          <w:bCs/>
          <w:sz w:val="40"/>
          <w:szCs w:val="40"/>
        </w:rPr>
      </w:pPr>
      <w:proofErr w:type="spellStart"/>
      <w:r w:rsidRPr="00302BEE">
        <w:rPr>
          <w:b/>
          <w:bCs/>
          <w:sz w:val="40"/>
          <w:szCs w:val="40"/>
        </w:rPr>
        <w:t>Sisa</w:t>
      </w:r>
      <w:proofErr w:type="spellEnd"/>
      <w:r w:rsidRPr="00302BEE">
        <w:rPr>
          <w:b/>
          <w:bCs/>
          <w:sz w:val="40"/>
          <w:szCs w:val="40"/>
        </w:rPr>
        <w:t xml:space="preserve"> en taken </w:t>
      </w:r>
      <w:proofErr w:type="spellStart"/>
      <w:r w:rsidRPr="00302BEE">
        <w:rPr>
          <w:b/>
          <w:bCs/>
          <w:sz w:val="40"/>
          <w:szCs w:val="40"/>
        </w:rPr>
        <w:t>aandachtsfunctionaris</w:t>
      </w:r>
      <w:proofErr w:type="spellEnd"/>
    </w:p>
    <w:p w14:paraId="1CEB8929" w14:textId="7F3FF11B" w:rsidR="00735AF2" w:rsidRPr="00735AF2" w:rsidRDefault="00735AF2" w:rsidP="00735AF2">
      <w:pPr>
        <w:spacing w:after="0" w:line="240" w:lineRule="auto"/>
        <w:textAlignment w:val="baseline"/>
        <w:rPr>
          <w:rFonts w:ascii="Segoe UI" w:eastAsia="Times New Roman" w:hAnsi="Segoe UI" w:cs="Segoe UI"/>
          <w:sz w:val="18"/>
          <w:szCs w:val="18"/>
          <w:lang w:eastAsia="nl-NL"/>
        </w:rPr>
      </w:pPr>
      <w:r w:rsidRPr="00735AF2">
        <w:rPr>
          <w:rFonts w:ascii="Calibri" w:eastAsia="Times New Roman" w:hAnsi="Calibri" w:cs="Calibri"/>
          <w:b/>
          <w:bCs/>
          <w:lang w:eastAsia="nl-NL"/>
        </w:rPr>
        <w:t xml:space="preserve">Taken </w:t>
      </w:r>
      <w:proofErr w:type="spellStart"/>
      <w:r w:rsidRPr="00735AF2">
        <w:rPr>
          <w:rFonts w:ascii="Calibri" w:eastAsia="Times New Roman" w:hAnsi="Calibri" w:cs="Calibri"/>
          <w:b/>
          <w:bCs/>
          <w:lang w:eastAsia="nl-NL"/>
        </w:rPr>
        <w:t>aandachtsfunctionaris</w:t>
      </w:r>
      <w:proofErr w:type="spellEnd"/>
      <w:r w:rsidRPr="00735AF2">
        <w:rPr>
          <w:rFonts w:ascii="Calibri" w:eastAsia="Times New Roman" w:hAnsi="Calibri" w:cs="Calibri"/>
          <w:lang w:eastAsia="nl-NL"/>
        </w:rPr>
        <w:t> </w:t>
      </w:r>
      <w:r w:rsidRPr="00735AF2">
        <w:rPr>
          <w:rFonts w:ascii="Calibri" w:eastAsia="Times New Roman" w:hAnsi="Calibri" w:cs="Calibri"/>
          <w:lang w:eastAsia="nl-NL"/>
        </w:rPr>
        <w:br/>
        <w:t> </w:t>
      </w:r>
      <w:r w:rsidRPr="00735AF2">
        <w:rPr>
          <w:rFonts w:ascii="Calibri" w:eastAsia="Times New Roman" w:hAnsi="Calibri" w:cs="Calibri"/>
          <w:lang w:eastAsia="nl-NL"/>
        </w:rPr>
        <w:br/>
        <w:t xml:space="preserve">De </w:t>
      </w:r>
      <w:proofErr w:type="spellStart"/>
      <w:r w:rsidRPr="00735AF2">
        <w:rPr>
          <w:rFonts w:ascii="Calibri" w:eastAsia="Times New Roman" w:hAnsi="Calibri" w:cs="Calibri"/>
          <w:lang w:eastAsia="nl-NL"/>
        </w:rPr>
        <w:t>aandachtsfunctionaris</w:t>
      </w:r>
      <w:proofErr w:type="spellEnd"/>
      <w:r w:rsidRPr="00735AF2">
        <w:rPr>
          <w:rFonts w:ascii="Calibri" w:eastAsia="Times New Roman" w:hAnsi="Calibri" w:cs="Calibri"/>
          <w:lang w:eastAsia="nl-NL"/>
        </w:rPr>
        <w:t xml:space="preserve"> kent een aantal basistaken:  </w:t>
      </w:r>
      <w:r>
        <w:rPr>
          <w:rFonts w:ascii="Calibri" w:eastAsia="Times New Roman" w:hAnsi="Calibri" w:cs="Calibri"/>
          <w:lang w:eastAsia="nl-NL"/>
        </w:rPr>
        <w:br/>
      </w:r>
      <w:r w:rsidRPr="00735AF2">
        <w:rPr>
          <w:rFonts w:ascii="Calibri" w:eastAsia="Times New Roman" w:hAnsi="Calibri" w:cs="Calibri"/>
          <w:lang w:eastAsia="nl-NL"/>
        </w:rPr>
        <w:br/>
      </w:r>
      <w:r w:rsidRPr="00735AF2">
        <w:rPr>
          <w:rFonts w:ascii="Calibri" w:eastAsia="Times New Roman" w:hAnsi="Calibri" w:cs="Calibri"/>
          <w:i/>
          <w:iCs/>
          <w:u w:val="single"/>
          <w:lang w:eastAsia="nl-NL"/>
        </w:rPr>
        <w:t>Adviseren</w:t>
      </w:r>
      <w:r w:rsidRPr="00735AF2">
        <w:rPr>
          <w:rFonts w:ascii="Calibri" w:eastAsia="Times New Roman" w:hAnsi="Calibri" w:cs="Calibri"/>
          <w:lang w:eastAsia="nl-NL"/>
        </w:rPr>
        <w:t>: ondersteunen van collega’s met het omgaan van signalen en de uitvoering van de meldcode </w:t>
      </w:r>
      <w:r w:rsidRPr="00735AF2">
        <w:rPr>
          <w:rFonts w:ascii="Calibri" w:eastAsia="Times New Roman" w:hAnsi="Calibri" w:cs="Calibri"/>
          <w:lang w:eastAsia="nl-NL"/>
        </w:rPr>
        <w:br/>
      </w:r>
      <w:r w:rsidRPr="00735AF2">
        <w:rPr>
          <w:rFonts w:ascii="Calibri" w:eastAsia="Times New Roman" w:hAnsi="Calibri" w:cs="Calibri"/>
          <w:i/>
          <w:iCs/>
          <w:u w:val="single"/>
          <w:lang w:eastAsia="nl-NL"/>
        </w:rPr>
        <w:t>Profileren</w:t>
      </w:r>
      <w:r w:rsidRPr="00735AF2">
        <w:rPr>
          <w:rFonts w:ascii="Calibri" w:eastAsia="Times New Roman" w:hAnsi="Calibri" w:cs="Calibri"/>
          <w:lang w:eastAsia="nl-NL"/>
        </w:rPr>
        <w:t>: huiselijk geweld en kindermishandeling op de kaart zetten en houden op school. Het onderwerp verdient structurele aandacht. Buiten de school contacten onderhouden met de ketenpartners.  </w:t>
      </w:r>
      <w:r w:rsidRPr="00735AF2">
        <w:rPr>
          <w:rFonts w:ascii="Calibri" w:eastAsia="Times New Roman" w:hAnsi="Calibri" w:cs="Calibri"/>
          <w:lang w:eastAsia="nl-NL"/>
        </w:rPr>
        <w:br/>
      </w:r>
      <w:r w:rsidRPr="00735AF2">
        <w:rPr>
          <w:rFonts w:ascii="Calibri" w:eastAsia="Times New Roman" w:hAnsi="Calibri" w:cs="Calibri"/>
          <w:i/>
          <w:iCs/>
          <w:u w:val="single"/>
          <w:lang w:eastAsia="nl-NL"/>
        </w:rPr>
        <w:t>Organiseren</w:t>
      </w:r>
      <w:r w:rsidRPr="00735AF2">
        <w:rPr>
          <w:rFonts w:ascii="Calibri" w:eastAsia="Times New Roman" w:hAnsi="Calibri" w:cs="Calibri"/>
          <w:lang w:eastAsia="nl-NL"/>
        </w:rPr>
        <w:t>: van proces, informatie uitwisseling en deskundigheidsbevordering </w:t>
      </w:r>
      <w:r w:rsidRPr="00735AF2">
        <w:rPr>
          <w:rFonts w:ascii="Calibri" w:eastAsia="Times New Roman" w:hAnsi="Calibri" w:cs="Calibri"/>
          <w:lang w:eastAsia="nl-NL"/>
        </w:rPr>
        <w:br/>
      </w:r>
      <w:r w:rsidRPr="00735AF2">
        <w:rPr>
          <w:rFonts w:ascii="Calibri" w:eastAsia="Times New Roman" w:hAnsi="Calibri" w:cs="Calibri"/>
          <w:i/>
          <w:iCs/>
          <w:u w:val="single"/>
          <w:lang w:eastAsia="nl-NL"/>
        </w:rPr>
        <w:t>Evalueren</w:t>
      </w:r>
      <w:r w:rsidRPr="00735AF2">
        <w:rPr>
          <w:rFonts w:ascii="Calibri" w:eastAsia="Times New Roman" w:hAnsi="Calibri" w:cs="Calibri"/>
          <w:lang w:eastAsia="nl-NL"/>
        </w:rPr>
        <w:t>: zicht houden op en evalueren van de uitvoering, waar nodig bijstellen en aanpassingen invoeren.  </w:t>
      </w:r>
      <w:r w:rsidRPr="00735AF2">
        <w:rPr>
          <w:rFonts w:ascii="Calibri" w:eastAsia="Times New Roman" w:hAnsi="Calibri" w:cs="Calibri"/>
          <w:lang w:eastAsia="nl-NL"/>
        </w:rPr>
        <w:br/>
        <w:t> </w:t>
      </w:r>
      <w:r w:rsidRPr="00735AF2">
        <w:rPr>
          <w:rFonts w:ascii="Calibri" w:eastAsia="Times New Roman" w:hAnsi="Calibri" w:cs="Calibri"/>
          <w:lang w:eastAsia="nl-NL"/>
        </w:rPr>
        <w:br/>
        <w:t xml:space="preserve">Naast de basistaken, vormt de </w:t>
      </w:r>
      <w:proofErr w:type="spellStart"/>
      <w:r w:rsidRPr="00735AF2">
        <w:rPr>
          <w:rFonts w:ascii="Calibri" w:eastAsia="Times New Roman" w:hAnsi="Calibri" w:cs="Calibri"/>
          <w:lang w:eastAsia="nl-NL"/>
        </w:rPr>
        <w:t>aandachtsfunctionaris</w:t>
      </w:r>
      <w:proofErr w:type="spellEnd"/>
      <w:r w:rsidRPr="00735AF2">
        <w:rPr>
          <w:rFonts w:ascii="Calibri" w:eastAsia="Times New Roman" w:hAnsi="Calibri" w:cs="Calibri"/>
          <w:lang w:eastAsia="nl-NL"/>
        </w:rPr>
        <w:t xml:space="preserve"> een belangrijke rol in het stappenplan van de Meldcode. Hierbij wordt er onderscheid gemaakt in de rol die de leerkrachten vervullen binnen de meldcode en de rol die de </w:t>
      </w:r>
      <w:proofErr w:type="spellStart"/>
      <w:r w:rsidRPr="00735AF2">
        <w:rPr>
          <w:rFonts w:ascii="Calibri" w:eastAsia="Times New Roman" w:hAnsi="Calibri" w:cs="Calibri"/>
          <w:lang w:eastAsia="nl-NL"/>
        </w:rPr>
        <w:t>aandachtsfunctionaris</w:t>
      </w:r>
      <w:proofErr w:type="spellEnd"/>
      <w:r w:rsidRPr="00735AF2">
        <w:rPr>
          <w:rFonts w:ascii="Calibri" w:eastAsia="Times New Roman" w:hAnsi="Calibri" w:cs="Calibri"/>
          <w:lang w:eastAsia="nl-NL"/>
        </w:rPr>
        <w:t xml:space="preserve"> vervult. De stappen van de Meldcode en de verantwoordelijkheden van de leerkrachten en </w:t>
      </w:r>
      <w:proofErr w:type="spellStart"/>
      <w:r w:rsidRPr="00735AF2">
        <w:rPr>
          <w:rFonts w:ascii="Calibri" w:eastAsia="Times New Roman" w:hAnsi="Calibri" w:cs="Calibri"/>
          <w:lang w:eastAsia="nl-NL"/>
        </w:rPr>
        <w:t>aandachtsfunctionaris</w:t>
      </w:r>
      <w:proofErr w:type="spellEnd"/>
      <w:r w:rsidRPr="00735AF2">
        <w:rPr>
          <w:rFonts w:ascii="Calibri" w:eastAsia="Times New Roman" w:hAnsi="Calibri" w:cs="Calibri"/>
          <w:lang w:eastAsia="nl-NL"/>
        </w:rPr>
        <w:t xml:space="preserve"> zijn in het volgende schema opgenomen:  </w:t>
      </w:r>
      <w:r w:rsidRPr="00735AF2">
        <w:rPr>
          <w:rFonts w:ascii="Calibri" w:eastAsia="Times New Roman" w:hAnsi="Calibri" w:cs="Calibri"/>
          <w:lang w:eastAsia="nl-NL"/>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735AF2" w:rsidRPr="00735AF2" w14:paraId="59BD3CD0" w14:textId="77777777" w:rsidTr="00735AF2">
        <w:tc>
          <w:tcPr>
            <w:tcW w:w="3015" w:type="dxa"/>
            <w:tcBorders>
              <w:top w:val="single" w:sz="6" w:space="0" w:color="auto"/>
              <w:left w:val="single" w:sz="6" w:space="0" w:color="auto"/>
              <w:bottom w:val="single" w:sz="6" w:space="0" w:color="auto"/>
              <w:right w:val="single" w:sz="6" w:space="0" w:color="auto"/>
            </w:tcBorders>
            <w:shd w:val="clear" w:color="auto" w:fill="B4C6E7"/>
            <w:hideMark/>
          </w:tcPr>
          <w:p w14:paraId="12F9B760"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b/>
                <w:bCs/>
                <w:lang w:eastAsia="nl-NL"/>
              </w:rPr>
              <w:t>Stappen Meldcode </w:t>
            </w:r>
            <w:r w:rsidRPr="00735AF2">
              <w:rPr>
                <w:rFonts w:ascii="Calibri" w:eastAsia="Times New Roman" w:hAnsi="Calibri" w:cs="Calibri"/>
                <w:lang w:eastAsia="nl-NL"/>
              </w:rPr>
              <w:t> </w:t>
            </w:r>
          </w:p>
        </w:tc>
        <w:tc>
          <w:tcPr>
            <w:tcW w:w="3015" w:type="dxa"/>
            <w:tcBorders>
              <w:top w:val="single" w:sz="6" w:space="0" w:color="auto"/>
              <w:left w:val="single" w:sz="6" w:space="0" w:color="auto"/>
              <w:bottom w:val="single" w:sz="6" w:space="0" w:color="auto"/>
              <w:right w:val="single" w:sz="6" w:space="0" w:color="auto"/>
            </w:tcBorders>
            <w:shd w:val="clear" w:color="auto" w:fill="B4C6E7"/>
            <w:hideMark/>
          </w:tcPr>
          <w:p w14:paraId="10FC8A50"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b/>
                <w:bCs/>
                <w:lang w:eastAsia="nl-NL"/>
              </w:rPr>
              <w:t>Rol leerkrachten school</w:t>
            </w:r>
            <w:r w:rsidRPr="00735AF2">
              <w:rPr>
                <w:rFonts w:ascii="Calibri" w:eastAsia="Times New Roman" w:hAnsi="Calibri" w:cs="Calibri"/>
                <w:lang w:eastAsia="nl-NL"/>
              </w:rPr>
              <w:t> </w:t>
            </w:r>
          </w:p>
        </w:tc>
        <w:tc>
          <w:tcPr>
            <w:tcW w:w="3015" w:type="dxa"/>
            <w:tcBorders>
              <w:top w:val="single" w:sz="6" w:space="0" w:color="auto"/>
              <w:left w:val="single" w:sz="6" w:space="0" w:color="auto"/>
              <w:bottom w:val="single" w:sz="6" w:space="0" w:color="auto"/>
              <w:right w:val="single" w:sz="6" w:space="0" w:color="auto"/>
            </w:tcBorders>
            <w:shd w:val="clear" w:color="auto" w:fill="B4C6E7"/>
            <w:hideMark/>
          </w:tcPr>
          <w:p w14:paraId="4352C786"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b/>
                <w:bCs/>
                <w:lang w:eastAsia="nl-NL"/>
              </w:rPr>
              <w:t xml:space="preserve">Rol </w:t>
            </w:r>
            <w:proofErr w:type="spellStart"/>
            <w:r w:rsidRPr="00735AF2">
              <w:rPr>
                <w:rFonts w:ascii="Calibri" w:eastAsia="Times New Roman" w:hAnsi="Calibri" w:cs="Calibri"/>
                <w:b/>
                <w:bCs/>
                <w:lang w:eastAsia="nl-NL"/>
              </w:rPr>
              <w:t>aandachtsfunctionaris</w:t>
            </w:r>
            <w:proofErr w:type="spellEnd"/>
            <w:r w:rsidRPr="00735AF2">
              <w:rPr>
                <w:rFonts w:ascii="Calibri" w:eastAsia="Times New Roman" w:hAnsi="Calibri" w:cs="Calibri"/>
                <w:b/>
                <w:bCs/>
                <w:lang w:eastAsia="nl-NL"/>
              </w:rPr>
              <w:t> </w:t>
            </w:r>
            <w:r w:rsidRPr="00735AF2">
              <w:rPr>
                <w:rFonts w:ascii="Calibri" w:eastAsia="Times New Roman" w:hAnsi="Calibri" w:cs="Calibri"/>
                <w:lang w:eastAsia="nl-NL"/>
              </w:rPr>
              <w:t> </w:t>
            </w:r>
          </w:p>
        </w:tc>
      </w:tr>
      <w:tr w:rsidR="00735AF2" w:rsidRPr="00735AF2" w14:paraId="14B9CB85" w14:textId="77777777" w:rsidTr="00735AF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BD2EF4C"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r>
            <w:r w:rsidRPr="00735AF2">
              <w:rPr>
                <w:rFonts w:ascii="Calibri" w:eastAsia="Times New Roman" w:hAnsi="Calibri" w:cs="Calibri"/>
                <w:b/>
                <w:bCs/>
                <w:sz w:val="20"/>
                <w:szCs w:val="20"/>
                <w:lang w:eastAsia="nl-NL"/>
              </w:rPr>
              <w:t>Stap 1</w:t>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In kaart brengen van signalen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6331A7C"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Observeren van signalen. </w:t>
            </w:r>
            <w:r w:rsidRPr="00735AF2">
              <w:rPr>
                <w:rFonts w:ascii="Calibri" w:eastAsia="Times New Roman" w:hAnsi="Calibri" w:cs="Calibri"/>
                <w:sz w:val="20"/>
                <w:szCs w:val="20"/>
                <w:lang w:eastAsia="nl-NL"/>
              </w:rPr>
              <w:br/>
              <w:t xml:space="preserve">Signalen van vermoedens kindermishandeling / huiselijk geweld in </w:t>
            </w:r>
            <w:proofErr w:type="spellStart"/>
            <w:r w:rsidRPr="00735AF2">
              <w:rPr>
                <w:rFonts w:ascii="Calibri" w:eastAsia="Times New Roman" w:hAnsi="Calibri" w:cs="Calibri"/>
                <w:sz w:val="20"/>
                <w:szCs w:val="20"/>
                <w:lang w:eastAsia="nl-NL"/>
              </w:rPr>
              <w:t>Parnassys</w:t>
            </w:r>
            <w:proofErr w:type="spellEnd"/>
            <w:r w:rsidRPr="00735AF2">
              <w:rPr>
                <w:rFonts w:ascii="Calibri" w:eastAsia="Times New Roman" w:hAnsi="Calibri" w:cs="Calibri"/>
                <w:sz w:val="20"/>
                <w:szCs w:val="20"/>
                <w:lang w:eastAsia="nl-NL"/>
              </w:rPr>
              <w:t xml:space="preserve"> beschrijven (rapporteren).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18C0C1F"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Ondersteunen van collega’s bij het in kaart brengen van signalen.  </w:t>
            </w:r>
            <w:r w:rsidRPr="00735AF2">
              <w:rPr>
                <w:rFonts w:ascii="Calibri" w:eastAsia="Times New Roman" w:hAnsi="Calibri" w:cs="Calibri"/>
                <w:sz w:val="20"/>
                <w:szCs w:val="20"/>
                <w:lang w:eastAsia="nl-NL"/>
              </w:rPr>
              <w:br/>
              <w:t>Ondersteunen bij het onderscheid maken in feitelijkheden en interpretatie.  </w:t>
            </w:r>
            <w:r w:rsidRPr="00735AF2">
              <w:rPr>
                <w:rFonts w:ascii="Calibri" w:eastAsia="Times New Roman" w:hAnsi="Calibri" w:cs="Calibri"/>
                <w:sz w:val="20"/>
                <w:szCs w:val="20"/>
                <w:lang w:eastAsia="nl-NL"/>
              </w:rPr>
              <w:br/>
              <w:t>De Meldcode wordt opgestart. Bij risicofactoren wordt er een signaal afgegeven in SISA (let op meldrecht). Het SISA-signaal wordt getoetst op betrokkenheid andere partijen.  </w:t>
            </w:r>
            <w:r w:rsidRPr="00735AF2">
              <w:rPr>
                <w:rFonts w:ascii="Calibri" w:eastAsia="Times New Roman" w:hAnsi="Calibri" w:cs="Calibri"/>
                <w:sz w:val="20"/>
                <w:szCs w:val="20"/>
                <w:lang w:eastAsia="nl-NL"/>
              </w:rPr>
              <w:br/>
            </w:r>
            <w:r w:rsidRPr="00735AF2">
              <w:rPr>
                <w:rFonts w:ascii="Calibri" w:eastAsia="Times New Roman" w:hAnsi="Calibri" w:cs="Calibri"/>
                <w:lang w:eastAsia="nl-NL"/>
              </w:rPr>
              <w:t> </w:t>
            </w:r>
          </w:p>
        </w:tc>
      </w:tr>
      <w:tr w:rsidR="00735AF2" w:rsidRPr="00735AF2" w14:paraId="50C8A82C" w14:textId="77777777" w:rsidTr="00735AF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6C16105"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r>
            <w:r w:rsidRPr="00735AF2">
              <w:rPr>
                <w:rFonts w:ascii="Calibri" w:eastAsia="Times New Roman" w:hAnsi="Calibri" w:cs="Calibri"/>
                <w:b/>
                <w:bCs/>
                <w:sz w:val="20"/>
                <w:szCs w:val="20"/>
                <w:lang w:eastAsia="nl-NL"/>
              </w:rPr>
              <w:t>Stap 2</w:t>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Consult </w:t>
            </w:r>
            <w:r w:rsidRPr="00735AF2">
              <w:rPr>
                <w:rFonts w:ascii="Calibri" w:eastAsia="Times New Roman" w:hAnsi="Calibri" w:cs="Calibri"/>
                <w:sz w:val="20"/>
                <w:szCs w:val="20"/>
                <w:lang w:eastAsia="nl-NL"/>
              </w:rPr>
              <w:br/>
            </w:r>
            <w:r w:rsidRPr="00735AF2">
              <w:rPr>
                <w:rFonts w:ascii="Calibri" w:eastAsia="Times New Roman" w:hAnsi="Calibri" w:cs="Calibri"/>
                <w:lang w:eastAsia="nl-NL"/>
              </w:rPr>
              <w:t> </w:t>
            </w:r>
            <w:r w:rsidRPr="00735AF2">
              <w:rPr>
                <w:rFonts w:ascii="Calibri" w:eastAsia="Times New Roman" w:hAnsi="Calibri" w:cs="Calibri"/>
                <w:lang w:eastAsia="nl-NL"/>
              </w:rPr>
              <w:br/>
            </w:r>
            <w:r w:rsidRPr="00735AF2">
              <w:rPr>
                <w:rFonts w:ascii="Calibri" w:eastAsia="Times New Roman" w:hAnsi="Calibri" w:cs="Calibri"/>
                <w:sz w:val="20"/>
                <w:szCs w:val="20"/>
                <w:lang w:eastAsia="nl-NL"/>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3B3BD08"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xml:space="preserve">De leerkracht zoekt voor overleg de </w:t>
            </w:r>
            <w:proofErr w:type="spellStart"/>
            <w:r w:rsidRPr="00735AF2">
              <w:rPr>
                <w:rFonts w:ascii="Calibri" w:eastAsia="Times New Roman" w:hAnsi="Calibri" w:cs="Calibri"/>
                <w:sz w:val="20"/>
                <w:szCs w:val="20"/>
                <w:lang w:eastAsia="nl-NL"/>
              </w:rPr>
              <w:t>aandachtsfunctionaris</w:t>
            </w:r>
            <w:proofErr w:type="spellEnd"/>
            <w:r w:rsidRPr="00735AF2">
              <w:rPr>
                <w:rFonts w:ascii="Calibri" w:eastAsia="Times New Roman" w:hAnsi="Calibri" w:cs="Calibri"/>
                <w:sz w:val="20"/>
                <w:szCs w:val="20"/>
                <w:lang w:eastAsia="nl-NL"/>
              </w:rPr>
              <w:t xml:space="preserve"> op om de risicosignalen te bespreken. Er wordt overleg gepleegd over de te nemen stappen.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167A8F0"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xml:space="preserve">De </w:t>
            </w:r>
            <w:proofErr w:type="spellStart"/>
            <w:r w:rsidRPr="00735AF2">
              <w:rPr>
                <w:rFonts w:ascii="Calibri" w:eastAsia="Times New Roman" w:hAnsi="Calibri" w:cs="Calibri"/>
                <w:sz w:val="20"/>
                <w:szCs w:val="20"/>
                <w:lang w:eastAsia="nl-NL"/>
              </w:rPr>
              <w:t>aandachtsfunctionaris</w:t>
            </w:r>
            <w:proofErr w:type="spellEnd"/>
            <w:r w:rsidRPr="00735AF2">
              <w:rPr>
                <w:rFonts w:ascii="Calibri" w:eastAsia="Times New Roman" w:hAnsi="Calibri" w:cs="Calibri"/>
                <w:sz w:val="20"/>
                <w:szCs w:val="20"/>
                <w:lang w:eastAsia="nl-NL"/>
              </w:rPr>
              <w:t xml:space="preserve"> denkt mee en ondersteunt in feitelijkheden en aannames.  </w:t>
            </w:r>
            <w:r w:rsidRPr="00735AF2">
              <w:rPr>
                <w:rFonts w:ascii="Calibri" w:eastAsia="Times New Roman" w:hAnsi="Calibri" w:cs="Calibri"/>
                <w:sz w:val="20"/>
                <w:szCs w:val="20"/>
                <w:lang w:eastAsia="nl-NL"/>
              </w:rPr>
              <w:br/>
              <w:t>Zo nodig wordt Veilig Thuis geraadpleegd over de casus.  </w:t>
            </w:r>
            <w:r w:rsidRPr="00735AF2">
              <w:rPr>
                <w:rFonts w:ascii="Calibri" w:eastAsia="Times New Roman" w:hAnsi="Calibri" w:cs="Calibri"/>
                <w:sz w:val="20"/>
                <w:szCs w:val="20"/>
                <w:lang w:eastAsia="nl-NL"/>
              </w:rPr>
              <w:br/>
              <w:t xml:space="preserve">Rapportage over stap 2 vindt plaats in </w:t>
            </w:r>
            <w:proofErr w:type="spellStart"/>
            <w:r w:rsidRPr="00735AF2">
              <w:rPr>
                <w:rFonts w:ascii="Calibri" w:eastAsia="Times New Roman" w:hAnsi="Calibri" w:cs="Calibri"/>
                <w:sz w:val="20"/>
                <w:szCs w:val="20"/>
                <w:lang w:eastAsia="nl-NL"/>
              </w:rPr>
              <w:t>Parnassys</w:t>
            </w:r>
            <w:proofErr w:type="spellEnd"/>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w:t>
            </w:r>
          </w:p>
        </w:tc>
      </w:tr>
      <w:tr w:rsidR="00735AF2" w:rsidRPr="00735AF2" w14:paraId="1B8F853A" w14:textId="77777777" w:rsidTr="00735AF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CE88789"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p>
          <w:p w14:paraId="3FA46DA8"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b/>
                <w:bCs/>
                <w:sz w:val="20"/>
                <w:szCs w:val="20"/>
                <w:lang w:eastAsia="nl-NL"/>
              </w:rPr>
              <w:t>Stap 3</w:t>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Gesprek met betrokkene(n) </w:t>
            </w:r>
            <w:r w:rsidRPr="00735AF2">
              <w:rPr>
                <w:rFonts w:ascii="Calibri" w:eastAsia="Times New Roman" w:hAnsi="Calibri" w:cs="Calibri"/>
                <w:sz w:val="20"/>
                <w:szCs w:val="20"/>
                <w:lang w:eastAsia="nl-NL"/>
              </w:rPr>
              <w:br/>
              <w:t> </w:t>
            </w:r>
          </w:p>
          <w:p w14:paraId="220FAC89"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E5AC9D4"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xml:space="preserve">De </w:t>
            </w:r>
            <w:proofErr w:type="spellStart"/>
            <w:r w:rsidRPr="00735AF2">
              <w:rPr>
                <w:rFonts w:ascii="Calibri" w:eastAsia="Times New Roman" w:hAnsi="Calibri" w:cs="Calibri"/>
                <w:sz w:val="20"/>
                <w:szCs w:val="20"/>
                <w:lang w:eastAsia="nl-NL"/>
              </w:rPr>
              <w:t>aandachtsfunctionaris</w:t>
            </w:r>
            <w:proofErr w:type="spellEnd"/>
            <w:r w:rsidRPr="00735AF2">
              <w:rPr>
                <w:rFonts w:ascii="Calibri" w:eastAsia="Times New Roman" w:hAnsi="Calibri" w:cs="Calibri"/>
                <w:sz w:val="20"/>
                <w:szCs w:val="20"/>
                <w:lang w:eastAsia="nl-NL"/>
              </w:rPr>
              <w:t xml:space="preserve"> voert samen met de leerkracht een gesprek met de betrokken ouder(s)/verzorger(s).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BFD9D7D"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De aandachtfunctionaris ondersteunt de leerkracht in het voorbereiden van het gesprek.  </w:t>
            </w:r>
            <w:r w:rsidRPr="00735AF2">
              <w:rPr>
                <w:rFonts w:ascii="Calibri" w:eastAsia="Times New Roman" w:hAnsi="Calibri" w:cs="Calibri"/>
                <w:sz w:val="20"/>
                <w:szCs w:val="20"/>
                <w:lang w:eastAsia="nl-NL"/>
              </w:rPr>
              <w:br/>
              <w:t xml:space="preserve">Rapportage over stap 3 vindt plaats in </w:t>
            </w:r>
            <w:proofErr w:type="spellStart"/>
            <w:r w:rsidRPr="00735AF2">
              <w:rPr>
                <w:rFonts w:ascii="Calibri" w:eastAsia="Times New Roman" w:hAnsi="Calibri" w:cs="Calibri"/>
                <w:sz w:val="20"/>
                <w:szCs w:val="20"/>
                <w:lang w:eastAsia="nl-NL"/>
              </w:rPr>
              <w:t>Parnassys</w:t>
            </w:r>
            <w:proofErr w:type="spellEnd"/>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w:t>
            </w:r>
            <w:r w:rsidRPr="00735AF2">
              <w:rPr>
                <w:rFonts w:ascii="Calibri" w:eastAsia="Times New Roman" w:hAnsi="Calibri" w:cs="Calibri"/>
                <w:sz w:val="20"/>
                <w:szCs w:val="20"/>
                <w:lang w:eastAsia="nl-NL"/>
              </w:rPr>
              <w:br/>
            </w:r>
            <w:r w:rsidRPr="00735AF2">
              <w:rPr>
                <w:rFonts w:ascii="Calibri" w:eastAsia="Times New Roman" w:hAnsi="Calibri" w:cs="Calibri"/>
                <w:i/>
                <w:iCs/>
                <w:sz w:val="20"/>
                <w:szCs w:val="20"/>
                <w:lang w:eastAsia="nl-NL"/>
              </w:rPr>
              <w:t xml:space="preserve">Bij acute dreiging van de veiligheid van het kind/de kinderen wordt stap 3 overgeslagen en de overige stappen versneld. Deze actie wordt </w:t>
            </w:r>
            <w:r w:rsidRPr="00735AF2">
              <w:rPr>
                <w:rFonts w:ascii="Calibri" w:eastAsia="Times New Roman" w:hAnsi="Calibri" w:cs="Calibri"/>
                <w:i/>
                <w:iCs/>
                <w:sz w:val="20"/>
                <w:szCs w:val="20"/>
                <w:lang w:eastAsia="nl-NL"/>
              </w:rPr>
              <w:lastRenderedPageBreak/>
              <w:t>goed onderbouwd en Veilig Thuis wordt ingeschakeld.</w:t>
            </w:r>
            <w:r w:rsidRPr="00735AF2">
              <w:rPr>
                <w:rFonts w:ascii="Calibri" w:eastAsia="Times New Roman" w:hAnsi="Calibri" w:cs="Calibri"/>
                <w:sz w:val="20"/>
                <w:szCs w:val="20"/>
                <w:lang w:eastAsia="nl-NL"/>
              </w:rPr>
              <w:t xml:space="preserve">  </w:t>
            </w:r>
            <w:r w:rsidRPr="00735AF2">
              <w:rPr>
                <w:rFonts w:ascii="Calibri" w:eastAsia="Times New Roman" w:hAnsi="Calibri" w:cs="Calibri"/>
                <w:sz w:val="20"/>
                <w:szCs w:val="20"/>
                <w:lang w:eastAsia="nl-NL"/>
              </w:rPr>
              <w:br/>
              <w:t> </w:t>
            </w:r>
          </w:p>
        </w:tc>
      </w:tr>
      <w:tr w:rsidR="00735AF2" w:rsidRPr="00735AF2" w14:paraId="2B6A23A7" w14:textId="77777777" w:rsidTr="00735AF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BF6BA1D"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lang w:eastAsia="nl-NL"/>
              </w:rPr>
              <w:lastRenderedPageBreak/>
              <w:t> </w:t>
            </w:r>
            <w:r w:rsidRPr="00735AF2">
              <w:rPr>
                <w:rFonts w:ascii="Calibri" w:eastAsia="Times New Roman" w:hAnsi="Calibri" w:cs="Calibri"/>
                <w:lang w:eastAsia="nl-NL"/>
              </w:rPr>
              <w:br/>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r>
            <w:r w:rsidRPr="00735AF2">
              <w:rPr>
                <w:rFonts w:ascii="Calibri" w:eastAsia="Times New Roman" w:hAnsi="Calibri" w:cs="Calibri"/>
                <w:b/>
                <w:bCs/>
                <w:sz w:val="20"/>
                <w:szCs w:val="20"/>
                <w:lang w:eastAsia="nl-NL"/>
              </w:rPr>
              <w:t>Stap 4</w:t>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Wegen </w:t>
            </w:r>
            <w:r w:rsidRPr="00735AF2">
              <w:rPr>
                <w:rFonts w:ascii="Calibri" w:eastAsia="Times New Roman" w:hAnsi="Calibri" w:cs="Calibri"/>
                <w:sz w:val="20"/>
                <w:szCs w:val="20"/>
                <w:lang w:eastAsia="nl-NL"/>
              </w:rPr>
              <w:b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34EE5A4"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lang w:eastAsia="nl-NL"/>
              </w:rPr>
              <w:t> </w:t>
            </w:r>
            <w:r w:rsidRPr="00735AF2">
              <w:rPr>
                <w:rFonts w:ascii="Calibri" w:eastAsia="Times New Roman" w:hAnsi="Calibri" w:cs="Calibri"/>
                <w:lang w:eastAsia="nl-NL"/>
              </w:rPr>
              <w:br/>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xml:space="preserve">De bevindingen van het gesprek worden met de leerkracht en de </w:t>
            </w:r>
            <w:proofErr w:type="spellStart"/>
            <w:r w:rsidRPr="00735AF2">
              <w:rPr>
                <w:rFonts w:ascii="Calibri" w:eastAsia="Times New Roman" w:hAnsi="Calibri" w:cs="Calibri"/>
                <w:sz w:val="20"/>
                <w:szCs w:val="20"/>
                <w:lang w:eastAsia="nl-NL"/>
              </w:rPr>
              <w:t>aandachtsfunctionaris</w:t>
            </w:r>
            <w:proofErr w:type="spellEnd"/>
            <w:r w:rsidRPr="00735AF2">
              <w:rPr>
                <w:rFonts w:ascii="Calibri" w:eastAsia="Times New Roman" w:hAnsi="Calibri" w:cs="Calibri"/>
                <w:sz w:val="20"/>
                <w:szCs w:val="20"/>
                <w:lang w:eastAsia="nl-NL"/>
              </w:rPr>
              <w:t xml:space="preserve"> besproken. De vervolgstappen worden afgewogen en er wordt een besluit over de vervolgstappen genomen. Bij twijfel wordt Veilig Thuis meegenomen in de weging.  </w:t>
            </w:r>
            <w:r w:rsidRPr="00735AF2">
              <w:rPr>
                <w:rFonts w:ascii="Calibri" w:eastAsia="Times New Roman" w:hAnsi="Calibri" w:cs="Calibri"/>
                <w:sz w:val="20"/>
                <w:szCs w:val="20"/>
                <w:lang w:eastAsia="nl-NL"/>
              </w:rPr>
              <w:br/>
              <w:t>Afwegingsvraag: is inzet hulpverlening (ook) mogelijk? </w:t>
            </w:r>
            <w:r w:rsidRPr="00735AF2">
              <w:rPr>
                <w:rFonts w:ascii="Calibri" w:eastAsia="Times New Roman" w:hAnsi="Calibri" w:cs="Calibri"/>
                <w:sz w:val="20"/>
                <w:szCs w:val="20"/>
                <w:lang w:eastAsia="nl-NL"/>
              </w:rPr>
              <w:b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4CCAF34"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lang w:eastAsia="nl-NL"/>
              </w:rPr>
              <w:t> </w:t>
            </w:r>
            <w:r w:rsidRPr="00735AF2">
              <w:rPr>
                <w:rFonts w:ascii="Calibri" w:eastAsia="Times New Roman" w:hAnsi="Calibri" w:cs="Calibri"/>
                <w:lang w:eastAsia="nl-NL"/>
              </w:rPr>
              <w:br/>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De aandachtfunctionaris ondersteunt de leerkracht en leidt het gesprek met de betrokkenen. </w:t>
            </w:r>
            <w:r w:rsidRPr="00735AF2">
              <w:rPr>
                <w:rFonts w:ascii="Calibri" w:eastAsia="Times New Roman" w:hAnsi="Calibri" w:cs="Calibri"/>
                <w:sz w:val="20"/>
                <w:szCs w:val="20"/>
                <w:lang w:eastAsia="nl-NL"/>
              </w:rPr>
              <w:br/>
              <w:t xml:space="preserve">Rapportage over stap 4 vindt plaats in </w:t>
            </w:r>
            <w:proofErr w:type="spellStart"/>
            <w:r w:rsidRPr="00735AF2">
              <w:rPr>
                <w:rFonts w:ascii="Calibri" w:eastAsia="Times New Roman" w:hAnsi="Calibri" w:cs="Calibri"/>
                <w:sz w:val="20"/>
                <w:szCs w:val="20"/>
                <w:lang w:eastAsia="nl-NL"/>
              </w:rPr>
              <w:t>Parnassys</w:t>
            </w:r>
            <w:proofErr w:type="spellEnd"/>
            <w:r w:rsidRPr="00735AF2">
              <w:rPr>
                <w:rFonts w:ascii="Calibri" w:eastAsia="Times New Roman" w:hAnsi="Calibri" w:cs="Calibri"/>
                <w:sz w:val="20"/>
                <w:szCs w:val="20"/>
                <w:lang w:eastAsia="nl-NL"/>
              </w:rPr>
              <w:t>.  </w:t>
            </w:r>
          </w:p>
        </w:tc>
      </w:tr>
      <w:tr w:rsidR="00735AF2" w:rsidRPr="00735AF2" w14:paraId="3AF6947A" w14:textId="77777777" w:rsidTr="00735AF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1E67544"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r>
            <w:r w:rsidRPr="00735AF2">
              <w:rPr>
                <w:rFonts w:ascii="Calibri" w:eastAsia="Times New Roman" w:hAnsi="Calibri" w:cs="Calibri"/>
                <w:b/>
                <w:bCs/>
                <w:sz w:val="20"/>
                <w:szCs w:val="20"/>
                <w:lang w:eastAsia="nl-NL"/>
              </w:rPr>
              <w:t>Stap 5</w:t>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Beslissen </w:t>
            </w:r>
            <w:r w:rsidRPr="00735AF2">
              <w:rPr>
                <w:rFonts w:ascii="Calibri" w:eastAsia="Times New Roman" w:hAnsi="Calibri" w:cs="Calibri"/>
                <w:sz w:val="20"/>
                <w:szCs w:val="20"/>
                <w:lang w:eastAsia="nl-NL"/>
              </w:rPr>
              <w:br/>
            </w:r>
            <w:r w:rsidRPr="00735AF2">
              <w:rPr>
                <w:rFonts w:ascii="Calibri" w:eastAsia="Times New Roman" w:hAnsi="Calibri" w:cs="Calibri"/>
                <w:lang w:eastAsia="nl-NL"/>
              </w:rPr>
              <w:t> </w:t>
            </w:r>
            <w:r w:rsidRPr="00735AF2">
              <w:rPr>
                <w:rFonts w:ascii="Calibri" w:eastAsia="Times New Roman" w:hAnsi="Calibri" w:cs="Calibri"/>
                <w:lang w:eastAsia="nl-NL"/>
              </w:rPr>
              <w:br/>
            </w:r>
            <w:r w:rsidRPr="00735AF2">
              <w:rPr>
                <w:rFonts w:ascii="Calibri" w:eastAsia="Times New Roman" w:hAnsi="Calibri" w:cs="Calibri"/>
                <w:sz w:val="20"/>
                <w:szCs w:val="20"/>
                <w:lang w:eastAsia="nl-NL"/>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12D8301"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lang w:eastAsia="nl-NL"/>
              </w:rPr>
              <w:t> </w:t>
            </w:r>
            <w:r w:rsidRPr="00735AF2">
              <w:rPr>
                <w:rFonts w:ascii="Calibri" w:eastAsia="Times New Roman" w:hAnsi="Calibri" w:cs="Calibri"/>
                <w:lang w:eastAsia="nl-NL"/>
              </w:rPr>
              <w:br/>
            </w:r>
            <w:r w:rsidRPr="00735AF2">
              <w:rPr>
                <w:rFonts w:ascii="Calibri" w:eastAsia="Times New Roman" w:hAnsi="Calibri" w:cs="Calibri"/>
                <w:sz w:val="20"/>
                <w:szCs w:val="20"/>
                <w:lang w:eastAsia="nl-NL"/>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A0773E9"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xml:space="preserve">De </w:t>
            </w:r>
            <w:proofErr w:type="spellStart"/>
            <w:r w:rsidRPr="00735AF2">
              <w:rPr>
                <w:rFonts w:ascii="Calibri" w:eastAsia="Times New Roman" w:hAnsi="Calibri" w:cs="Calibri"/>
                <w:sz w:val="20"/>
                <w:szCs w:val="20"/>
                <w:lang w:eastAsia="nl-NL"/>
              </w:rPr>
              <w:t>aandachtsfunctionaris</w:t>
            </w:r>
            <w:proofErr w:type="spellEnd"/>
            <w:r w:rsidRPr="00735AF2">
              <w:rPr>
                <w:rFonts w:ascii="Calibri" w:eastAsia="Times New Roman" w:hAnsi="Calibri" w:cs="Calibri"/>
                <w:sz w:val="20"/>
                <w:szCs w:val="20"/>
                <w:lang w:eastAsia="nl-NL"/>
              </w:rPr>
              <w:t xml:space="preserve"> neemt initiatief tot uitvoering van de conclusie die getrokken is in stap 4.  </w:t>
            </w:r>
            <w:r w:rsidRPr="00735AF2">
              <w:rPr>
                <w:rFonts w:ascii="Calibri" w:eastAsia="Times New Roman" w:hAnsi="Calibri" w:cs="Calibri"/>
                <w:sz w:val="20"/>
                <w:szCs w:val="20"/>
                <w:lang w:eastAsia="nl-NL"/>
              </w:rPr>
              <w:br/>
              <w:t> </w:t>
            </w:r>
            <w:r w:rsidRPr="00735AF2">
              <w:rPr>
                <w:rFonts w:ascii="Calibri" w:eastAsia="Times New Roman" w:hAnsi="Calibri" w:cs="Calibri"/>
                <w:sz w:val="20"/>
                <w:szCs w:val="20"/>
                <w:lang w:eastAsia="nl-NL"/>
              </w:rPr>
              <w:br/>
              <w:t xml:space="preserve">Er wordt besloten of het noodzakelijks is om een melding te doen bij Veilig Thuis. Zo ja: melding wordt gemaakt, ouders worden hierover ingelicht. Argumenten voor de melding worden gerapporteerd in </w:t>
            </w:r>
            <w:proofErr w:type="spellStart"/>
            <w:r w:rsidRPr="00735AF2">
              <w:rPr>
                <w:rFonts w:ascii="Calibri" w:eastAsia="Times New Roman" w:hAnsi="Calibri" w:cs="Calibri"/>
                <w:sz w:val="20"/>
                <w:szCs w:val="20"/>
                <w:lang w:eastAsia="nl-NL"/>
              </w:rPr>
              <w:t>Parnassys</w:t>
            </w:r>
            <w:proofErr w:type="spellEnd"/>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w:t>
            </w:r>
            <w:r w:rsidRPr="00735AF2">
              <w:rPr>
                <w:rFonts w:ascii="Calibri" w:eastAsia="Times New Roman" w:hAnsi="Calibri" w:cs="Calibri"/>
                <w:sz w:val="20"/>
                <w:szCs w:val="20"/>
                <w:lang w:eastAsia="nl-NL"/>
              </w:rPr>
              <w:br/>
              <w:t>Er wordt besloten om hulpverlening op te starten. De hulp wordt zo concreet mogelijk worden gemaakt en gedocumenteerd. Samen met ketenpartners wordt overleg gepleegd en wordt afgesproken wie welke taken op zich neemt. </w:t>
            </w:r>
            <w:r w:rsidRPr="00735AF2">
              <w:rPr>
                <w:rFonts w:ascii="Calibri" w:eastAsia="Times New Roman" w:hAnsi="Calibri" w:cs="Calibri"/>
                <w:sz w:val="20"/>
                <w:szCs w:val="20"/>
                <w:lang w:eastAsia="nl-NL"/>
              </w:rPr>
              <w:br/>
              <w:t>Ouders worden geïnformeerd en betrokken bij de gemaakte afspraken.  </w:t>
            </w:r>
            <w:r w:rsidRPr="00735AF2">
              <w:rPr>
                <w:rFonts w:ascii="Calibri" w:eastAsia="Times New Roman" w:hAnsi="Calibri" w:cs="Calibri"/>
                <w:sz w:val="20"/>
                <w:szCs w:val="20"/>
                <w:lang w:eastAsia="nl-NL"/>
              </w:rPr>
              <w:br/>
              <w:t> </w:t>
            </w:r>
          </w:p>
        </w:tc>
      </w:tr>
      <w:tr w:rsidR="00735AF2" w:rsidRPr="00735AF2" w14:paraId="5EA00736" w14:textId="77777777" w:rsidTr="00735AF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0AAD634"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r>
            <w:r w:rsidRPr="00735AF2">
              <w:rPr>
                <w:rFonts w:ascii="Calibri" w:eastAsia="Times New Roman" w:hAnsi="Calibri" w:cs="Calibri"/>
                <w:b/>
                <w:bCs/>
                <w:sz w:val="20"/>
                <w:szCs w:val="20"/>
                <w:lang w:eastAsia="nl-NL"/>
              </w:rPr>
              <w:t>Volgen</w:t>
            </w: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4E8401D"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t>Leerkrachten blijven gericht observeren.  </w:t>
            </w:r>
            <w:r w:rsidRPr="00735AF2">
              <w:rPr>
                <w:rFonts w:ascii="Calibri" w:eastAsia="Times New Roman" w:hAnsi="Calibri" w:cs="Calibri"/>
                <w:sz w:val="20"/>
                <w:szCs w:val="20"/>
                <w:lang w:eastAsia="nl-NL"/>
              </w:rPr>
              <w:b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CF06D5A" w14:textId="77777777" w:rsidR="00735AF2" w:rsidRPr="00735AF2" w:rsidRDefault="00735AF2" w:rsidP="00735AF2">
            <w:pPr>
              <w:spacing w:after="0" w:line="240" w:lineRule="auto"/>
              <w:textAlignment w:val="baseline"/>
              <w:rPr>
                <w:rFonts w:ascii="Times New Roman" w:eastAsia="Times New Roman" w:hAnsi="Times New Roman" w:cs="Times New Roman"/>
                <w:sz w:val="24"/>
                <w:szCs w:val="24"/>
                <w:lang w:eastAsia="nl-NL"/>
              </w:rPr>
            </w:pPr>
            <w:r w:rsidRPr="00735AF2">
              <w:rPr>
                <w:rFonts w:ascii="Calibri" w:eastAsia="Times New Roman" w:hAnsi="Calibri" w:cs="Calibri"/>
                <w:sz w:val="20"/>
                <w:szCs w:val="20"/>
                <w:lang w:eastAsia="nl-NL"/>
              </w:rPr>
              <w:t> </w:t>
            </w:r>
            <w:r w:rsidRPr="00735AF2">
              <w:rPr>
                <w:rFonts w:ascii="Calibri" w:eastAsia="Times New Roman" w:hAnsi="Calibri" w:cs="Calibri"/>
                <w:sz w:val="20"/>
                <w:szCs w:val="20"/>
                <w:lang w:eastAsia="nl-NL"/>
              </w:rPr>
              <w:br/>
            </w:r>
            <w:proofErr w:type="spellStart"/>
            <w:r w:rsidRPr="00735AF2">
              <w:rPr>
                <w:rFonts w:ascii="Calibri" w:eastAsia="Times New Roman" w:hAnsi="Calibri" w:cs="Calibri"/>
                <w:sz w:val="20"/>
                <w:szCs w:val="20"/>
                <w:lang w:eastAsia="nl-NL"/>
              </w:rPr>
              <w:t>Aandachtsfunctionaris</w:t>
            </w:r>
            <w:proofErr w:type="spellEnd"/>
            <w:r w:rsidRPr="00735AF2">
              <w:rPr>
                <w:rFonts w:ascii="Calibri" w:eastAsia="Times New Roman" w:hAnsi="Calibri" w:cs="Calibri"/>
                <w:sz w:val="20"/>
                <w:szCs w:val="20"/>
                <w:lang w:eastAsia="nl-NL"/>
              </w:rPr>
              <w:t xml:space="preserve"> monitort op vervolg van de ingezette hulp en afspraken.  </w:t>
            </w:r>
            <w:r w:rsidRPr="00735AF2">
              <w:rPr>
                <w:rFonts w:ascii="Calibri" w:eastAsia="Times New Roman" w:hAnsi="Calibri" w:cs="Calibri"/>
                <w:sz w:val="20"/>
                <w:szCs w:val="20"/>
                <w:lang w:eastAsia="nl-NL"/>
              </w:rPr>
              <w:br/>
              <w:t> </w:t>
            </w:r>
          </w:p>
        </w:tc>
      </w:tr>
    </w:tbl>
    <w:p w14:paraId="0068978A" w14:textId="77777777" w:rsidR="00735AF2" w:rsidRDefault="00735AF2"/>
    <w:sectPr w:rsidR="00735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F2"/>
    <w:rsid w:val="00302BEE"/>
    <w:rsid w:val="00735AF2"/>
    <w:rsid w:val="00EA5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0694"/>
  <w15:chartTrackingRefBased/>
  <w15:docId w15:val="{439CAC59-C284-4A02-91D8-E58D5B7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09978">
      <w:bodyDiv w:val="1"/>
      <w:marLeft w:val="0"/>
      <w:marRight w:val="0"/>
      <w:marTop w:val="0"/>
      <w:marBottom w:val="0"/>
      <w:divBdr>
        <w:top w:val="none" w:sz="0" w:space="0" w:color="auto"/>
        <w:left w:val="none" w:sz="0" w:space="0" w:color="auto"/>
        <w:bottom w:val="none" w:sz="0" w:space="0" w:color="auto"/>
        <w:right w:val="none" w:sz="0" w:space="0" w:color="auto"/>
      </w:divBdr>
      <w:divsChild>
        <w:div w:id="1369721033">
          <w:marLeft w:val="0"/>
          <w:marRight w:val="0"/>
          <w:marTop w:val="0"/>
          <w:marBottom w:val="0"/>
          <w:divBdr>
            <w:top w:val="none" w:sz="0" w:space="0" w:color="auto"/>
            <w:left w:val="none" w:sz="0" w:space="0" w:color="auto"/>
            <w:bottom w:val="none" w:sz="0" w:space="0" w:color="auto"/>
            <w:right w:val="none" w:sz="0" w:space="0" w:color="auto"/>
          </w:divBdr>
        </w:div>
        <w:div w:id="178585609">
          <w:marLeft w:val="0"/>
          <w:marRight w:val="0"/>
          <w:marTop w:val="0"/>
          <w:marBottom w:val="0"/>
          <w:divBdr>
            <w:top w:val="none" w:sz="0" w:space="0" w:color="auto"/>
            <w:left w:val="none" w:sz="0" w:space="0" w:color="auto"/>
            <w:bottom w:val="none" w:sz="0" w:space="0" w:color="auto"/>
            <w:right w:val="none" w:sz="0" w:space="0" w:color="auto"/>
          </w:divBdr>
          <w:divsChild>
            <w:div w:id="1793867380">
              <w:marLeft w:val="0"/>
              <w:marRight w:val="0"/>
              <w:marTop w:val="30"/>
              <w:marBottom w:val="30"/>
              <w:divBdr>
                <w:top w:val="none" w:sz="0" w:space="0" w:color="auto"/>
                <w:left w:val="none" w:sz="0" w:space="0" w:color="auto"/>
                <w:bottom w:val="none" w:sz="0" w:space="0" w:color="auto"/>
                <w:right w:val="none" w:sz="0" w:space="0" w:color="auto"/>
              </w:divBdr>
              <w:divsChild>
                <w:div w:id="731008402">
                  <w:marLeft w:val="0"/>
                  <w:marRight w:val="0"/>
                  <w:marTop w:val="0"/>
                  <w:marBottom w:val="0"/>
                  <w:divBdr>
                    <w:top w:val="none" w:sz="0" w:space="0" w:color="auto"/>
                    <w:left w:val="none" w:sz="0" w:space="0" w:color="auto"/>
                    <w:bottom w:val="none" w:sz="0" w:space="0" w:color="auto"/>
                    <w:right w:val="none" w:sz="0" w:space="0" w:color="auto"/>
                  </w:divBdr>
                  <w:divsChild>
                    <w:div w:id="1432162166">
                      <w:marLeft w:val="0"/>
                      <w:marRight w:val="0"/>
                      <w:marTop w:val="0"/>
                      <w:marBottom w:val="0"/>
                      <w:divBdr>
                        <w:top w:val="none" w:sz="0" w:space="0" w:color="auto"/>
                        <w:left w:val="none" w:sz="0" w:space="0" w:color="auto"/>
                        <w:bottom w:val="none" w:sz="0" w:space="0" w:color="auto"/>
                        <w:right w:val="none" w:sz="0" w:space="0" w:color="auto"/>
                      </w:divBdr>
                    </w:div>
                  </w:divsChild>
                </w:div>
                <w:div w:id="711811579">
                  <w:marLeft w:val="0"/>
                  <w:marRight w:val="0"/>
                  <w:marTop w:val="0"/>
                  <w:marBottom w:val="0"/>
                  <w:divBdr>
                    <w:top w:val="none" w:sz="0" w:space="0" w:color="auto"/>
                    <w:left w:val="none" w:sz="0" w:space="0" w:color="auto"/>
                    <w:bottom w:val="none" w:sz="0" w:space="0" w:color="auto"/>
                    <w:right w:val="none" w:sz="0" w:space="0" w:color="auto"/>
                  </w:divBdr>
                  <w:divsChild>
                    <w:div w:id="2036417722">
                      <w:marLeft w:val="0"/>
                      <w:marRight w:val="0"/>
                      <w:marTop w:val="0"/>
                      <w:marBottom w:val="0"/>
                      <w:divBdr>
                        <w:top w:val="none" w:sz="0" w:space="0" w:color="auto"/>
                        <w:left w:val="none" w:sz="0" w:space="0" w:color="auto"/>
                        <w:bottom w:val="none" w:sz="0" w:space="0" w:color="auto"/>
                        <w:right w:val="none" w:sz="0" w:space="0" w:color="auto"/>
                      </w:divBdr>
                    </w:div>
                  </w:divsChild>
                </w:div>
                <w:div w:id="1423146161">
                  <w:marLeft w:val="0"/>
                  <w:marRight w:val="0"/>
                  <w:marTop w:val="0"/>
                  <w:marBottom w:val="0"/>
                  <w:divBdr>
                    <w:top w:val="none" w:sz="0" w:space="0" w:color="auto"/>
                    <w:left w:val="none" w:sz="0" w:space="0" w:color="auto"/>
                    <w:bottom w:val="none" w:sz="0" w:space="0" w:color="auto"/>
                    <w:right w:val="none" w:sz="0" w:space="0" w:color="auto"/>
                  </w:divBdr>
                  <w:divsChild>
                    <w:div w:id="2097044946">
                      <w:marLeft w:val="0"/>
                      <w:marRight w:val="0"/>
                      <w:marTop w:val="0"/>
                      <w:marBottom w:val="0"/>
                      <w:divBdr>
                        <w:top w:val="none" w:sz="0" w:space="0" w:color="auto"/>
                        <w:left w:val="none" w:sz="0" w:space="0" w:color="auto"/>
                        <w:bottom w:val="none" w:sz="0" w:space="0" w:color="auto"/>
                        <w:right w:val="none" w:sz="0" w:space="0" w:color="auto"/>
                      </w:divBdr>
                    </w:div>
                  </w:divsChild>
                </w:div>
                <w:div w:id="1332945917">
                  <w:marLeft w:val="0"/>
                  <w:marRight w:val="0"/>
                  <w:marTop w:val="0"/>
                  <w:marBottom w:val="0"/>
                  <w:divBdr>
                    <w:top w:val="none" w:sz="0" w:space="0" w:color="auto"/>
                    <w:left w:val="none" w:sz="0" w:space="0" w:color="auto"/>
                    <w:bottom w:val="none" w:sz="0" w:space="0" w:color="auto"/>
                    <w:right w:val="none" w:sz="0" w:space="0" w:color="auto"/>
                  </w:divBdr>
                  <w:divsChild>
                    <w:div w:id="821313092">
                      <w:marLeft w:val="0"/>
                      <w:marRight w:val="0"/>
                      <w:marTop w:val="0"/>
                      <w:marBottom w:val="0"/>
                      <w:divBdr>
                        <w:top w:val="none" w:sz="0" w:space="0" w:color="auto"/>
                        <w:left w:val="none" w:sz="0" w:space="0" w:color="auto"/>
                        <w:bottom w:val="none" w:sz="0" w:space="0" w:color="auto"/>
                        <w:right w:val="none" w:sz="0" w:space="0" w:color="auto"/>
                      </w:divBdr>
                    </w:div>
                  </w:divsChild>
                </w:div>
                <w:div w:id="1523400755">
                  <w:marLeft w:val="0"/>
                  <w:marRight w:val="0"/>
                  <w:marTop w:val="0"/>
                  <w:marBottom w:val="0"/>
                  <w:divBdr>
                    <w:top w:val="none" w:sz="0" w:space="0" w:color="auto"/>
                    <w:left w:val="none" w:sz="0" w:space="0" w:color="auto"/>
                    <w:bottom w:val="none" w:sz="0" w:space="0" w:color="auto"/>
                    <w:right w:val="none" w:sz="0" w:space="0" w:color="auto"/>
                  </w:divBdr>
                  <w:divsChild>
                    <w:div w:id="1101294815">
                      <w:marLeft w:val="0"/>
                      <w:marRight w:val="0"/>
                      <w:marTop w:val="0"/>
                      <w:marBottom w:val="0"/>
                      <w:divBdr>
                        <w:top w:val="none" w:sz="0" w:space="0" w:color="auto"/>
                        <w:left w:val="none" w:sz="0" w:space="0" w:color="auto"/>
                        <w:bottom w:val="none" w:sz="0" w:space="0" w:color="auto"/>
                        <w:right w:val="none" w:sz="0" w:space="0" w:color="auto"/>
                      </w:divBdr>
                    </w:div>
                  </w:divsChild>
                </w:div>
                <w:div w:id="1826511232">
                  <w:marLeft w:val="0"/>
                  <w:marRight w:val="0"/>
                  <w:marTop w:val="0"/>
                  <w:marBottom w:val="0"/>
                  <w:divBdr>
                    <w:top w:val="none" w:sz="0" w:space="0" w:color="auto"/>
                    <w:left w:val="none" w:sz="0" w:space="0" w:color="auto"/>
                    <w:bottom w:val="none" w:sz="0" w:space="0" w:color="auto"/>
                    <w:right w:val="none" w:sz="0" w:space="0" w:color="auto"/>
                  </w:divBdr>
                  <w:divsChild>
                    <w:div w:id="69929350">
                      <w:marLeft w:val="0"/>
                      <w:marRight w:val="0"/>
                      <w:marTop w:val="0"/>
                      <w:marBottom w:val="0"/>
                      <w:divBdr>
                        <w:top w:val="none" w:sz="0" w:space="0" w:color="auto"/>
                        <w:left w:val="none" w:sz="0" w:space="0" w:color="auto"/>
                        <w:bottom w:val="none" w:sz="0" w:space="0" w:color="auto"/>
                        <w:right w:val="none" w:sz="0" w:space="0" w:color="auto"/>
                      </w:divBdr>
                    </w:div>
                  </w:divsChild>
                </w:div>
                <w:div w:id="257564962">
                  <w:marLeft w:val="0"/>
                  <w:marRight w:val="0"/>
                  <w:marTop w:val="0"/>
                  <w:marBottom w:val="0"/>
                  <w:divBdr>
                    <w:top w:val="none" w:sz="0" w:space="0" w:color="auto"/>
                    <w:left w:val="none" w:sz="0" w:space="0" w:color="auto"/>
                    <w:bottom w:val="none" w:sz="0" w:space="0" w:color="auto"/>
                    <w:right w:val="none" w:sz="0" w:space="0" w:color="auto"/>
                  </w:divBdr>
                  <w:divsChild>
                    <w:div w:id="921796260">
                      <w:marLeft w:val="0"/>
                      <w:marRight w:val="0"/>
                      <w:marTop w:val="0"/>
                      <w:marBottom w:val="0"/>
                      <w:divBdr>
                        <w:top w:val="none" w:sz="0" w:space="0" w:color="auto"/>
                        <w:left w:val="none" w:sz="0" w:space="0" w:color="auto"/>
                        <w:bottom w:val="none" w:sz="0" w:space="0" w:color="auto"/>
                        <w:right w:val="none" w:sz="0" w:space="0" w:color="auto"/>
                      </w:divBdr>
                    </w:div>
                  </w:divsChild>
                </w:div>
                <w:div w:id="1901013637">
                  <w:marLeft w:val="0"/>
                  <w:marRight w:val="0"/>
                  <w:marTop w:val="0"/>
                  <w:marBottom w:val="0"/>
                  <w:divBdr>
                    <w:top w:val="none" w:sz="0" w:space="0" w:color="auto"/>
                    <w:left w:val="none" w:sz="0" w:space="0" w:color="auto"/>
                    <w:bottom w:val="none" w:sz="0" w:space="0" w:color="auto"/>
                    <w:right w:val="none" w:sz="0" w:space="0" w:color="auto"/>
                  </w:divBdr>
                  <w:divsChild>
                    <w:div w:id="697506377">
                      <w:marLeft w:val="0"/>
                      <w:marRight w:val="0"/>
                      <w:marTop w:val="0"/>
                      <w:marBottom w:val="0"/>
                      <w:divBdr>
                        <w:top w:val="none" w:sz="0" w:space="0" w:color="auto"/>
                        <w:left w:val="none" w:sz="0" w:space="0" w:color="auto"/>
                        <w:bottom w:val="none" w:sz="0" w:space="0" w:color="auto"/>
                        <w:right w:val="none" w:sz="0" w:space="0" w:color="auto"/>
                      </w:divBdr>
                    </w:div>
                  </w:divsChild>
                </w:div>
                <w:div w:id="1204056419">
                  <w:marLeft w:val="0"/>
                  <w:marRight w:val="0"/>
                  <w:marTop w:val="0"/>
                  <w:marBottom w:val="0"/>
                  <w:divBdr>
                    <w:top w:val="none" w:sz="0" w:space="0" w:color="auto"/>
                    <w:left w:val="none" w:sz="0" w:space="0" w:color="auto"/>
                    <w:bottom w:val="none" w:sz="0" w:space="0" w:color="auto"/>
                    <w:right w:val="none" w:sz="0" w:space="0" w:color="auto"/>
                  </w:divBdr>
                  <w:divsChild>
                    <w:div w:id="1372461209">
                      <w:marLeft w:val="0"/>
                      <w:marRight w:val="0"/>
                      <w:marTop w:val="0"/>
                      <w:marBottom w:val="0"/>
                      <w:divBdr>
                        <w:top w:val="none" w:sz="0" w:space="0" w:color="auto"/>
                        <w:left w:val="none" w:sz="0" w:space="0" w:color="auto"/>
                        <w:bottom w:val="none" w:sz="0" w:space="0" w:color="auto"/>
                        <w:right w:val="none" w:sz="0" w:space="0" w:color="auto"/>
                      </w:divBdr>
                    </w:div>
                  </w:divsChild>
                </w:div>
                <w:div w:id="1856723316">
                  <w:marLeft w:val="0"/>
                  <w:marRight w:val="0"/>
                  <w:marTop w:val="0"/>
                  <w:marBottom w:val="0"/>
                  <w:divBdr>
                    <w:top w:val="none" w:sz="0" w:space="0" w:color="auto"/>
                    <w:left w:val="none" w:sz="0" w:space="0" w:color="auto"/>
                    <w:bottom w:val="none" w:sz="0" w:space="0" w:color="auto"/>
                    <w:right w:val="none" w:sz="0" w:space="0" w:color="auto"/>
                  </w:divBdr>
                  <w:divsChild>
                    <w:div w:id="2088333269">
                      <w:marLeft w:val="0"/>
                      <w:marRight w:val="0"/>
                      <w:marTop w:val="0"/>
                      <w:marBottom w:val="0"/>
                      <w:divBdr>
                        <w:top w:val="none" w:sz="0" w:space="0" w:color="auto"/>
                        <w:left w:val="none" w:sz="0" w:space="0" w:color="auto"/>
                        <w:bottom w:val="none" w:sz="0" w:space="0" w:color="auto"/>
                        <w:right w:val="none" w:sz="0" w:space="0" w:color="auto"/>
                      </w:divBdr>
                    </w:div>
                    <w:div w:id="1747803180">
                      <w:marLeft w:val="0"/>
                      <w:marRight w:val="0"/>
                      <w:marTop w:val="0"/>
                      <w:marBottom w:val="0"/>
                      <w:divBdr>
                        <w:top w:val="none" w:sz="0" w:space="0" w:color="auto"/>
                        <w:left w:val="none" w:sz="0" w:space="0" w:color="auto"/>
                        <w:bottom w:val="none" w:sz="0" w:space="0" w:color="auto"/>
                        <w:right w:val="none" w:sz="0" w:space="0" w:color="auto"/>
                      </w:divBdr>
                    </w:div>
                    <w:div w:id="576399102">
                      <w:marLeft w:val="0"/>
                      <w:marRight w:val="0"/>
                      <w:marTop w:val="0"/>
                      <w:marBottom w:val="0"/>
                      <w:divBdr>
                        <w:top w:val="none" w:sz="0" w:space="0" w:color="auto"/>
                        <w:left w:val="none" w:sz="0" w:space="0" w:color="auto"/>
                        <w:bottom w:val="none" w:sz="0" w:space="0" w:color="auto"/>
                        <w:right w:val="none" w:sz="0" w:space="0" w:color="auto"/>
                      </w:divBdr>
                    </w:div>
                  </w:divsChild>
                </w:div>
                <w:div w:id="838345605">
                  <w:marLeft w:val="0"/>
                  <w:marRight w:val="0"/>
                  <w:marTop w:val="0"/>
                  <w:marBottom w:val="0"/>
                  <w:divBdr>
                    <w:top w:val="none" w:sz="0" w:space="0" w:color="auto"/>
                    <w:left w:val="none" w:sz="0" w:space="0" w:color="auto"/>
                    <w:bottom w:val="none" w:sz="0" w:space="0" w:color="auto"/>
                    <w:right w:val="none" w:sz="0" w:space="0" w:color="auto"/>
                  </w:divBdr>
                  <w:divsChild>
                    <w:div w:id="1340812249">
                      <w:marLeft w:val="0"/>
                      <w:marRight w:val="0"/>
                      <w:marTop w:val="0"/>
                      <w:marBottom w:val="0"/>
                      <w:divBdr>
                        <w:top w:val="none" w:sz="0" w:space="0" w:color="auto"/>
                        <w:left w:val="none" w:sz="0" w:space="0" w:color="auto"/>
                        <w:bottom w:val="none" w:sz="0" w:space="0" w:color="auto"/>
                        <w:right w:val="none" w:sz="0" w:space="0" w:color="auto"/>
                      </w:divBdr>
                    </w:div>
                  </w:divsChild>
                </w:div>
                <w:div w:id="1646662206">
                  <w:marLeft w:val="0"/>
                  <w:marRight w:val="0"/>
                  <w:marTop w:val="0"/>
                  <w:marBottom w:val="0"/>
                  <w:divBdr>
                    <w:top w:val="none" w:sz="0" w:space="0" w:color="auto"/>
                    <w:left w:val="none" w:sz="0" w:space="0" w:color="auto"/>
                    <w:bottom w:val="none" w:sz="0" w:space="0" w:color="auto"/>
                    <w:right w:val="none" w:sz="0" w:space="0" w:color="auto"/>
                  </w:divBdr>
                  <w:divsChild>
                    <w:div w:id="1061636734">
                      <w:marLeft w:val="0"/>
                      <w:marRight w:val="0"/>
                      <w:marTop w:val="0"/>
                      <w:marBottom w:val="0"/>
                      <w:divBdr>
                        <w:top w:val="none" w:sz="0" w:space="0" w:color="auto"/>
                        <w:left w:val="none" w:sz="0" w:space="0" w:color="auto"/>
                        <w:bottom w:val="none" w:sz="0" w:space="0" w:color="auto"/>
                        <w:right w:val="none" w:sz="0" w:space="0" w:color="auto"/>
                      </w:divBdr>
                    </w:div>
                  </w:divsChild>
                </w:div>
                <w:div w:id="1497838750">
                  <w:marLeft w:val="0"/>
                  <w:marRight w:val="0"/>
                  <w:marTop w:val="0"/>
                  <w:marBottom w:val="0"/>
                  <w:divBdr>
                    <w:top w:val="none" w:sz="0" w:space="0" w:color="auto"/>
                    <w:left w:val="none" w:sz="0" w:space="0" w:color="auto"/>
                    <w:bottom w:val="none" w:sz="0" w:space="0" w:color="auto"/>
                    <w:right w:val="none" w:sz="0" w:space="0" w:color="auto"/>
                  </w:divBdr>
                  <w:divsChild>
                    <w:div w:id="1446387860">
                      <w:marLeft w:val="0"/>
                      <w:marRight w:val="0"/>
                      <w:marTop w:val="0"/>
                      <w:marBottom w:val="0"/>
                      <w:divBdr>
                        <w:top w:val="none" w:sz="0" w:space="0" w:color="auto"/>
                        <w:left w:val="none" w:sz="0" w:space="0" w:color="auto"/>
                        <w:bottom w:val="none" w:sz="0" w:space="0" w:color="auto"/>
                        <w:right w:val="none" w:sz="0" w:space="0" w:color="auto"/>
                      </w:divBdr>
                    </w:div>
                  </w:divsChild>
                </w:div>
                <w:div w:id="2141534623">
                  <w:marLeft w:val="0"/>
                  <w:marRight w:val="0"/>
                  <w:marTop w:val="0"/>
                  <w:marBottom w:val="0"/>
                  <w:divBdr>
                    <w:top w:val="none" w:sz="0" w:space="0" w:color="auto"/>
                    <w:left w:val="none" w:sz="0" w:space="0" w:color="auto"/>
                    <w:bottom w:val="none" w:sz="0" w:space="0" w:color="auto"/>
                    <w:right w:val="none" w:sz="0" w:space="0" w:color="auto"/>
                  </w:divBdr>
                  <w:divsChild>
                    <w:div w:id="840777582">
                      <w:marLeft w:val="0"/>
                      <w:marRight w:val="0"/>
                      <w:marTop w:val="0"/>
                      <w:marBottom w:val="0"/>
                      <w:divBdr>
                        <w:top w:val="none" w:sz="0" w:space="0" w:color="auto"/>
                        <w:left w:val="none" w:sz="0" w:space="0" w:color="auto"/>
                        <w:bottom w:val="none" w:sz="0" w:space="0" w:color="auto"/>
                        <w:right w:val="none" w:sz="0" w:space="0" w:color="auto"/>
                      </w:divBdr>
                    </w:div>
                  </w:divsChild>
                </w:div>
                <w:div w:id="1731345612">
                  <w:marLeft w:val="0"/>
                  <w:marRight w:val="0"/>
                  <w:marTop w:val="0"/>
                  <w:marBottom w:val="0"/>
                  <w:divBdr>
                    <w:top w:val="none" w:sz="0" w:space="0" w:color="auto"/>
                    <w:left w:val="none" w:sz="0" w:space="0" w:color="auto"/>
                    <w:bottom w:val="none" w:sz="0" w:space="0" w:color="auto"/>
                    <w:right w:val="none" w:sz="0" w:space="0" w:color="auto"/>
                  </w:divBdr>
                  <w:divsChild>
                    <w:div w:id="777720689">
                      <w:marLeft w:val="0"/>
                      <w:marRight w:val="0"/>
                      <w:marTop w:val="0"/>
                      <w:marBottom w:val="0"/>
                      <w:divBdr>
                        <w:top w:val="none" w:sz="0" w:space="0" w:color="auto"/>
                        <w:left w:val="none" w:sz="0" w:space="0" w:color="auto"/>
                        <w:bottom w:val="none" w:sz="0" w:space="0" w:color="auto"/>
                        <w:right w:val="none" w:sz="0" w:space="0" w:color="auto"/>
                      </w:divBdr>
                    </w:div>
                  </w:divsChild>
                </w:div>
                <w:div w:id="1544370947">
                  <w:marLeft w:val="0"/>
                  <w:marRight w:val="0"/>
                  <w:marTop w:val="0"/>
                  <w:marBottom w:val="0"/>
                  <w:divBdr>
                    <w:top w:val="none" w:sz="0" w:space="0" w:color="auto"/>
                    <w:left w:val="none" w:sz="0" w:space="0" w:color="auto"/>
                    <w:bottom w:val="none" w:sz="0" w:space="0" w:color="auto"/>
                    <w:right w:val="none" w:sz="0" w:space="0" w:color="auto"/>
                  </w:divBdr>
                  <w:divsChild>
                    <w:div w:id="1994941823">
                      <w:marLeft w:val="0"/>
                      <w:marRight w:val="0"/>
                      <w:marTop w:val="0"/>
                      <w:marBottom w:val="0"/>
                      <w:divBdr>
                        <w:top w:val="none" w:sz="0" w:space="0" w:color="auto"/>
                        <w:left w:val="none" w:sz="0" w:space="0" w:color="auto"/>
                        <w:bottom w:val="none" w:sz="0" w:space="0" w:color="auto"/>
                        <w:right w:val="none" w:sz="0" w:space="0" w:color="auto"/>
                      </w:divBdr>
                    </w:div>
                  </w:divsChild>
                </w:div>
                <w:div w:id="81997544">
                  <w:marLeft w:val="0"/>
                  <w:marRight w:val="0"/>
                  <w:marTop w:val="0"/>
                  <w:marBottom w:val="0"/>
                  <w:divBdr>
                    <w:top w:val="none" w:sz="0" w:space="0" w:color="auto"/>
                    <w:left w:val="none" w:sz="0" w:space="0" w:color="auto"/>
                    <w:bottom w:val="none" w:sz="0" w:space="0" w:color="auto"/>
                    <w:right w:val="none" w:sz="0" w:space="0" w:color="auto"/>
                  </w:divBdr>
                  <w:divsChild>
                    <w:div w:id="112335500">
                      <w:marLeft w:val="0"/>
                      <w:marRight w:val="0"/>
                      <w:marTop w:val="0"/>
                      <w:marBottom w:val="0"/>
                      <w:divBdr>
                        <w:top w:val="none" w:sz="0" w:space="0" w:color="auto"/>
                        <w:left w:val="none" w:sz="0" w:space="0" w:color="auto"/>
                        <w:bottom w:val="none" w:sz="0" w:space="0" w:color="auto"/>
                        <w:right w:val="none" w:sz="0" w:space="0" w:color="auto"/>
                      </w:divBdr>
                    </w:div>
                  </w:divsChild>
                </w:div>
                <w:div w:id="155465125">
                  <w:marLeft w:val="0"/>
                  <w:marRight w:val="0"/>
                  <w:marTop w:val="0"/>
                  <w:marBottom w:val="0"/>
                  <w:divBdr>
                    <w:top w:val="none" w:sz="0" w:space="0" w:color="auto"/>
                    <w:left w:val="none" w:sz="0" w:space="0" w:color="auto"/>
                    <w:bottom w:val="none" w:sz="0" w:space="0" w:color="auto"/>
                    <w:right w:val="none" w:sz="0" w:space="0" w:color="auto"/>
                  </w:divBdr>
                  <w:divsChild>
                    <w:div w:id="229773350">
                      <w:marLeft w:val="0"/>
                      <w:marRight w:val="0"/>
                      <w:marTop w:val="0"/>
                      <w:marBottom w:val="0"/>
                      <w:divBdr>
                        <w:top w:val="none" w:sz="0" w:space="0" w:color="auto"/>
                        <w:left w:val="none" w:sz="0" w:space="0" w:color="auto"/>
                        <w:bottom w:val="none" w:sz="0" w:space="0" w:color="auto"/>
                        <w:right w:val="none" w:sz="0" w:space="0" w:color="auto"/>
                      </w:divBdr>
                    </w:div>
                  </w:divsChild>
                </w:div>
                <w:div w:id="750197335">
                  <w:marLeft w:val="0"/>
                  <w:marRight w:val="0"/>
                  <w:marTop w:val="0"/>
                  <w:marBottom w:val="0"/>
                  <w:divBdr>
                    <w:top w:val="none" w:sz="0" w:space="0" w:color="auto"/>
                    <w:left w:val="none" w:sz="0" w:space="0" w:color="auto"/>
                    <w:bottom w:val="none" w:sz="0" w:space="0" w:color="auto"/>
                    <w:right w:val="none" w:sz="0" w:space="0" w:color="auto"/>
                  </w:divBdr>
                  <w:divsChild>
                    <w:div w:id="252932228">
                      <w:marLeft w:val="0"/>
                      <w:marRight w:val="0"/>
                      <w:marTop w:val="0"/>
                      <w:marBottom w:val="0"/>
                      <w:divBdr>
                        <w:top w:val="none" w:sz="0" w:space="0" w:color="auto"/>
                        <w:left w:val="none" w:sz="0" w:space="0" w:color="auto"/>
                        <w:bottom w:val="none" w:sz="0" w:space="0" w:color="auto"/>
                        <w:right w:val="none" w:sz="0" w:space="0" w:color="auto"/>
                      </w:divBdr>
                    </w:div>
                  </w:divsChild>
                </w:div>
                <w:div w:id="1057628116">
                  <w:marLeft w:val="0"/>
                  <w:marRight w:val="0"/>
                  <w:marTop w:val="0"/>
                  <w:marBottom w:val="0"/>
                  <w:divBdr>
                    <w:top w:val="none" w:sz="0" w:space="0" w:color="auto"/>
                    <w:left w:val="none" w:sz="0" w:space="0" w:color="auto"/>
                    <w:bottom w:val="none" w:sz="0" w:space="0" w:color="auto"/>
                    <w:right w:val="none" w:sz="0" w:space="0" w:color="auto"/>
                  </w:divBdr>
                  <w:divsChild>
                    <w:div w:id="113596380">
                      <w:marLeft w:val="0"/>
                      <w:marRight w:val="0"/>
                      <w:marTop w:val="0"/>
                      <w:marBottom w:val="0"/>
                      <w:divBdr>
                        <w:top w:val="none" w:sz="0" w:space="0" w:color="auto"/>
                        <w:left w:val="none" w:sz="0" w:space="0" w:color="auto"/>
                        <w:bottom w:val="none" w:sz="0" w:space="0" w:color="auto"/>
                        <w:right w:val="none" w:sz="0" w:space="0" w:color="auto"/>
                      </w:divBdr>
                    </w:div>
                  </w:divsChild>
                </w:div>
                <w:div w:id="1474253917">
                  <w:marLeft w:val="0"/>
                  <w:marRight w:val="0"/>
                  <w:marTop w:val="0"/>
                  <w:marBottom w:val="0"/>
                  <w:divBdr>
                    <w:top w:val="none" w:sz="0" w:space="0" w:color="auto"/>
                    <w:left w:val="none" w:sz="0" w:space="0" w:color="auto"/>
                    <w:bottom w:val="none" w:sz="0" w:space="0" w:color="auto"/>
                    <w:right w:val="none" w:sz="0" w:space="0" w:color="auto"/>
                  </w:divBdr>
                  <w:divsChild>
                    <w:div w:id="3168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3137</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 Vermeer</dc:creator>
  <cp:keywords/>
  <dc:description/>
  <cp:lastModifiedBy>Roos Hoogendorp</cp:lastModifiedBy>
  <cp:revision>2</cp:revision>
  <dcterms:created xsi:type="dcterms:W3CDTF">2022-10-05T09:50:00Z</dcterms:created>
  <dcterms:modified xsi:type="dcterms:W3CDTF">2022-10-05T09:50:00Z</dcterms:modified>
</cp:coreProperties>
</file>